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1E1C45">
      <w:pPr>
        <w:widowControl/>
        <w:tabs>
          <w:tab w:val="left" w:pos="1280"/>
        </w:tabs>
        <w:jc w:val="left"/>
        <w:rPr>
          <w:rFonts w:hint="eastAsia" w:ascii="黑体" w:hAnsi="黑体" w:eastAsia="黑体" w:cs="Times New Roman"/>
          <w:sz w:val="32"/>
          <w:szCs w:val="32"/>
          <w:highlight w:val="none"/>
          <w:lang w:val="en-US" w:eastAsia="zh-CN"/>
        </w:rPr>
      </w:pPr>
      <w:bookmarkStart w:id="0" w:name="_GoBack"/>
      <w:r>
        <w:rPr>
          <w:rFonts w:ascii="黑体" w:hAnsi="黑体" w:eastAsia="黑体" w:cs="Times New Roman"/>
          <w:sz w:val="32"/>
          <w:szCs w:val="32"/>
          <w:highlight w:val="none"/>
        </w:rPr>
        <w:t>附件</w:t>
      </w:r>
      <w:r>
        <w:rPr>
          <w:rFonts w:hint="eastAsia" w:ascii="黑体" w:hAnsi="黑体" w:eastAsia="黑体" w:cs="Times New Roman"/>
          <w:sz w:val="32"/>
          <w:szCs w:val="32"/>
          <w:highlight w:val="none"/>
          <w:lang w:val="en-US" w:eastAsia="zh-CN"/>
        </w:rPr>
        <w:t>10</w:t>
      </w:r>
    </w:p>
    <w:p w14:paraId="36DE3D97">
      <w:pPr>
        <w:widowControl/>
        <w:tabs>
          <w:tab w:val="left" w:pos="1280"/>
        </w:tabs>
        <w:jc w:val="left"/>
        <w:rPr>
          <w:rFonts w:ascii="黑体" w:hAnsi="黑体" w:eastAsia="黑体" w:cs="Times New Roman"/>
          <w:sz w:val="32"/>
          <w:szCs w:val="32"/>
          <w:highlight w:val="none"/>
        </w:rPr>
      </w:pPr>
      <w:r>
        <w:rPr>
          <w:rFonts w:ascii="黑体" w:hAnsi="黑体" w:eastAsia="黑体" w:cs="Times New Roman"/>
          <w:sz w:val="32"/>
          <w:szCs w:val="32"/>
          <w:highlight w:val="none"/>
        </w:rPr>
        <w:tab/>
      </w:r>
    </w:p>
    <w:p w14:paraId="7E6CA5E2">
      <w:pPr>
        <w:overflowPunct w:val="0"/>
        <w:spacing w:line="560" w:lineRule="exact"/>
        <w:ind w:firstLine="880" w:firstLineChars="200"/>
        <w:jc w:val="center"/>
        <w:rPr>
          <w:rFonts w:hint="eastAsia" w:ascii="黑体" w:hAnsi="黑体" w:eastAsia="黑体" w:cs="Times New Roman"/>
          <w:bCs/>
          <w:kern w:val="44"/>
          <w:sz w:val="44"/>
          <w:szCs w:val="44"/>
          <w:highlight w:val="none"/>
          <w:lang w:eastAsia="zh-CN"/>
        </w:rPr>
      </w:pPr>
      <w:r>
        <w:rPr>
          <w:rFonts w:hint="eastAsia" w:ascii="黑体" w:hAnsi="黑体" w:eastAsia="黑体" w:cs="Times New Roman"/>
          <w:bCs/>
          <w:kern w:val="44"/>
          <w:sz w:val="44"/>
          <w:szCs w:val="44"/>
          <w:highlight w:val="none"/>
          <w:lang w:eastAsia="zh-CN"/>
        </w:rPr>
        <w:t>重庆市第二类体外诊断试剂临床评价</w:t>
      </w:r>
    </w:p>
    <w:p w14:paraId="3EABB000">
      <w:pPr>
        <w:overflowPunct w:val="0"/>
        <w:spacing w:line="560" w:lineRule="exact"/>
        <w:ind w:firstLine="880" w:firstLineChars="200"/>
        <w:jc w:val="center"/>
        <w:rPr>
          <w:rFonts w:hint="eastAsia" w:ascii="黑体" w:hAnsi="黑体" w:eastAsia="黑体" w:cs="Times New Roman"/>
          <w:bCs/>
          <w:kern w:val="44"/>
          <w:sz w:val="44"/>
          <w:szCs w:val="44"/>
          <w:highlight w:val="none"/>
          <w:lang w:eastAsia="zh-CN"/>
        </w:rPr>
      </w:pPr>
      <w:r>
        <w:rPr>
          <w:rFonts w:hint="eastAsia" w:ascii="黑体" w:hAnsi="黑体" w:eastAsia="黑体" w:cs="Times New Roman"/>
          <w:bCs/>
          <w:kern w:val="44"/>
          <w:sz w:val="44"/>
          <w:szCs w:val="44"/>
          <w:highlight w:val="none"/>
          <w:lang w:eastAsia="zh-CN"/>
        </w:rPr>
        <w:t>立卷审查表（非临床试验）</w:t>
      </w:r>
    </w:p>
    <w:p w14:paraId="3044EE9C">
      <w:pPr>
        <w:overflowPunct w:val="0"/>
        <w:spacing w:line="560" w:lineRule="exact"/>
        <w:ind w:firstLine="880" w:firstLineChars="200"/>
        <w:jc w:val="center"/>
        <w:rPr>
          <w:rFonts w:hint="eastAsia" w:ascii="黑体" w:hAnsi="黑体" w:eastAsia="黑体" w:cs="Times New Roman"/>
          <w:bCs/>
          <w:kern w:val="44"/>
          <w:sz w:val="44"/>
          <w:szCs w:val="44"/>
          <w:highlight w:val="none"/>
          <w:lang w:eastAsia="zh-CN"/>
        </w:rPr>
      </w:pPr>
    </w:p>
    <w:tbl>
      <w:tblPr>
        <w:tblStyle w:val="7"/>
        <w:tblW w:w="521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40" w:type="dxa"/>
          <w:bottom w:w="0" w:type="dxa"/>
          <w:right w:w="40" w:type="dxa"/>
        </w:tblCellMar>
      </w:tblPr>
      <w:tblGrid>
        <w:gridCol w:w="466"/>
        <w:gridCol w:w="5260"/>
        <w:gridCol w:w="718"/>
        <w:gridCol w:w="717"/>
        <w:gridCol w:w="860"/>
        <w:gridCol w:w="717"/>
      </w:tblGrid>
      <w:tr w14:paraId="73311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5000" w:type="pct"/>
            <w:gridSpan w:val="6"/>
            <w:shd w:val="clear" w:color="auto" w:fill="auto"/>
          </w:tcPr>
          <w:p w14:paraId="5278CC77">
            <w:pPr>
              <w:spacing w:line="300" w:lineRule="exact"/>
              <w:rPr>
                <w:rFonts w:ascii="Times New Roman" w:hAnsi="Times New Roman" w:eastAsia="黑体" w:cs="Times New Roman"/>
                <w:bCs/>
                <w:color w:val="000000"/>
                <w:szCs w:val="21"/>
                <w:highlight w:val="none"/>
              </w:rPr>
            </w:pPr>
            <w:r>
              <w:rPr>
                <w:rFonts w:ascii="Times New Roman" w:hAnsi="Times New Roman" w:cs="Times New Roman"/>
                <w:szCs w:val="21"/>
                <w:highlight w:val="none"/>
              </w:rPr>
              <w:br w:type="page"/>
            </w:r>
            <w:r>
              <w:rPr>
                <w:rFonts w:ascii="Times New Roman" w:hAnsi="Times New Roman" w:eastAsia="黑体" w:cs="Times New Roman"/>
                <w:bCs/>
                <w:color w:val="000000"/>
                <w:szCs w:val="21"/>
                <w:highlight w:val="none"/>
              </w:rPr>
              <w:t>1.</w:t>
            </w:r>
            <w:r>
              <w:rPr>
                <w:rFonts w:ascii="Times New Roman" w:hAnsi="黑体" w:eastAsia="黑体" w:cs="Times New Roman"/>
                <w:bCs/>
                <w:color w:val="000000"/>
                <w:szCs w:val="21"/>
                <w:highlight w:val="none"/>
              </w:rPr>
              <w:t>如果提交了相关资料则勾选</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是</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，如果不做要求则勾选</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不适用</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，如未能提供则勾选</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否</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w:t>
            </w:r>
          </w:p>
          <w:p w14:paraId="7D4FA0BD">
            <w:pPr>
              <w:spacing w:line="300" w:lineRule="exact"/>
              <w:rPr>
                <w:rFonts w:ascii="Times New Roman" w:hAnsi="Times New Roman" w:cs="Times New Roman"/>
                <w:b/>
                <w:bCs/>
                <w:color w:val="000000"/>
                <w:spacing w:val="-3"/>
                <w:szCs w:val="21"/>
                <w:highlight w:val="none"/>
                <w:u w:val="single"/>
              </w:rPr>
            </w:pPr>
            <w:r>
              <w:rPr>
                <w:rFonts w:ascii="Times New Roman" w:hAnsi="Times New Roman" w:eastAsia="黑体" w:cs="Times New Roman"/>
                <w:bCs/>
                <w:color w:val="000000"/>
                <w:szCs w:val="21"/>
                <w:highlight w:val="none"/>
              </w:rPr>
              <w:t>2.</w:t>
            </w:r>
            <w:r>
              <w:rPr>
                <w:rFonts w:ascii="Times New Roman" w:hAnsi="黑体" w:eastAsia="黑体" w:cs="Times New Roman"/>
                <w:bCs/>
                <w:color w:val="000000"/>
                <w:szCs w:val="21"/>
                <w:highlight w:val="none"/>
              </w:rPr>
              <w:t>对任何问题回答</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否</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都会导致做出</w:t>
            </w:r>
            <w:r>
              <w:rPr>
                <w:rFonts w:ascii="Times New Roman" w:hAnsi="Times New Roman" w:eastAsia="黑体" w:cs="Times New Roman"/>
                <w:bCs/>
                <w:color w:val="000000"/>
                <w:szCs w:val="21"/>
                <w:highlight w:val="none"/>
              </w:rPr>
              <w:t>“</w:t>
            </w:r>
            <w:r>
              <w:rPr>
                <w:rFonts w:hint="eastAsia" w:ascii="Times New Roman" w:hAnsi="黑体" w:eastAsia="黑体" w:cs="Times New Roman"/>
                <w:bCs/>
                <w:color w:val="000000"/>
                <w:szCs w:val="21"/>
                <w:highlight w:val="none"/>
                <w:lang w:eastAsia="zh-CN"/>
              </w:rPr>
              <w:t>立卷审查</w:t>
            </w:r>
            <w:r>
              <w:rPr>
                <w:rFonts w:ascii="Times New Roman" w:hAnsi="黑体" w:eastAsia="黑体" w:cs="Times New Roman"/>
                <w:bCs/>
                <w:color w:val="000000"/>
                <w:szCs w:val="21"/>
                <w:highlight w:val="none"/>
              </w:rPr>
              <w:t>不</w:t>
            </w:r>
            <w:r>
              <w:rPr>
                <w:rFonts w:hint="eastAsia" w:ascii="Times New Roman" w:hAnsi="黑体" w:eastAsia="黑体" w:cs="Times New Roman"/>
                <w:bCs/>
                <w:color w:val="000000"/>
                <w:szCs w:val="21"/>
                <w:highlight w:val="none"/>
                <w:lang w:eastAsia="zh-CN"/>
              </w:rPr>
              <w:t>符合</w:t>
            </w:r>
            <w:r>
              <w:rPr>
                <w:rFonts w:ascii="Times New Roman" w:hAnsi="Times New Roman" w:eastAsia="黑体" w:cs="Times New Roman"/>
                <w:bCs/>
                <w:color w:val="000000"/>
                <w:szCs w:val="21"/>
                <w:highlight w:val="none"/>
              </w:rPr>
              <w:t>”</w:t>
            </w:r>
            <w:r>
              <w:rPr>
                <w:rFonts w:ascii="Times New Roman" w:hAnsi="黑体" w:eastAsia="黑体" w:cs="Times New Roman"/>
                <w:bCs/>
                <w:color w:val="000000"/>
                <w:szCs w:val="21"/>
                <w:highlight w:val="none"/>
              </w:rPr>
              <w:t>的决定。</w:t>
            </w:r>
          </w:p>
        </w:tc>
      </w:tr>
      <w:tr w14:paraId="79AF7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rPr>
          <w:trHeight w:val="766" w:hRule="atLeast"/>
        </w:trPr>
        <w:tc>
          <w:tcPr>
            <w:tcW w:w="267" w:type="pct"/>
            <w:shd w:val="clear" w:color="auto" w:fill="auto"/>
            <w:vAlign w:val="center"/>
          </w:tcPr>
          <w:p w14:paraId="456107DF">
            <w:pPr>
              <w:jc w:val="center"/>
              <w:rPr>
                <w:rFonts w:ascii="Times New Roman" w:hAnsi="Times New Roman" w:eastAsia="黑体" w:cs="Times New Roman"/>
                <w:szCs w:val="21"/>
                <w:highlight w:val="none"/>
              </w:rPr>
            </w:pPr>
            <w:r>
              <w:rPr>
                <w:rFonts w:ascii="Times New Roman" w:hAnsi="黑体" w:eastAsia="黑体" w:cs="Times New Roman"/>
                <w:bCs/>
                <w:color w:val="000000"/>
                <w:szCs w:val="21"/>
                <w:highlight w:val="none"/>
              </w:rPr>
              <w:t>序号</w:t>
            </w:r>
          </w:p>
        </w:tc>
        <w:tc>
          <w:tcPr>
            <w:tcW w:w="3010" w:type="pct"/>
            <w:shd w:val="clear" w:color="auto" w:fill="auto"/>
            <w:vAlign w:val="center"/>
          </w:tcPr>
          <w:p w14:paraId="21E775DB">
            <w:pPr>
              <w:jc w:val="center"/>
              <w:rPr>
                <w:rFonts w:ascii="Times New Roman" w:hAnsi="Times New Roman" w:eastAsia="黑体" w:cs="Times New Roman"/>
                <w:szCs w:val="21"/>
                <w:highlight w:val="none"/>
              </w:rPr>
            </w:pPr>
            <w:r>
              <w:rPr>
                <w:rFonts w:hint="eastAsia" w:ascii="Times New Roman" w:hAnsi="黑体" w:eastAsia="黑体" w:cs="Times New Roman"/>
                <w:bCs/>
                <w:color w:val="000000"/>
                <w:szCs w:val="21"/>
                <w:highlight w:val="none"/>
                <w:lang w:eastAsia="zh-CN"/>
              </w:rPr>
              <w:t>立卷审查</w:t>
            </w:r>
            <w:r>
              <w:rPr>
                <w:rFonts w:ascii="Times New Roman" w:hAnsi="黑体" w:eastAsia="黑体" w:cs="Times New Roman"/>
                <w:bCs/>
                <w:color w:val="000000"/>
                <w:szCs w:val="21"/>
                <w:highlight w:val="none"/>
              </w:rPr>
              <w:t>问题</w:t>
            </w:r>
          </w:p>
        </w:tc>
        <w:tc>
          <w:tcPr>
            <w:tcW w:w="411" w:type="pct"/>
            <w:shd w:val="clear" w:color="auto" w:fill="auto"/>
            <w:tcMar>
              <w:top w:w="57" w:type="dxa"/>
              <w:left w:w="85" w:type="dxa"/>
              <w:bottom w:w="57" w:type="dxa"/>
              <w:right w:w="85" w:type="dxa"/>
            </w:tcMar>
            <w:vAlign w:val="center"/>
          </w:tcPr>
          <w:p w14:paraId="0E9EC8A2">
            <w:pPr>
              <w:jc w:val="center"/>
              <w:rPr>
                <w:rFonts w:ascii="Times New Roman" w:hAnsi="Times New Roman" w:eastAsia="黑体" w:cs="Times New Roman"/>
                <w:bCs/>
                <w:color w:val="000000"/>
                <w:szCs w:val="21"/>
                <w:highlight w:val="none"/>
              </w:rPr>
            </w:pPr>
            <w:r>
              <w:rPr>
                <w:rFonts w:ascii="Times New Roman" w:hAnsi="黑体" w:eastAsia="黑体" w:cs="Times New Roman"/>
                <w:bCs/>
                <w:color w:val="000000"/>
                <w:szCs w:val="21"/>
                <w:highlight w:val="none"/>
              </w:rPr>
              <w:t>是</w:t>
            </w:r>
          </w:p>
        </w:tc>
        <w:tc>
          <w:tcPr>
            <w:tcW w:w="410" w:type="pct"/>
            <w:shd w:val="clear" w:color="auto" w:fill="auto"/>
            <w:vAlign w:val="center"/>
          </w:tcPr>
          <w:p w14:paraId="0B9EA0B4">
            <w:pPr>
              <w:jc w:val="center"/>
              <w:rPr>
                <w:rFonts w:ascii="Times New Roman" w:hAnsi="Times New Roman" w:eastAsia="黑体" w:cs="Times New Roman"/>
                <w:szCs w:val="21"/>
                <w:highlight w:val="none"/>
              </w:rPr>
            </w:pPr>
            <w:r>
              <w:rPr>
                <w:rFonts w:ascii="Times New Roman" w:hAnsi="黑体" w:eastAsia="黑体" w:cs="Times New Roman"/>
                <w:bCs/>
                <w:color w:val="000000"/>
                <w:szCs w:val="21"/>
                <w:highlight w:val="none"/>
              </w:rPr>
              <w:t>不适用</w:t>
            </w:r>
          </w:p>
        </w:tc>
        <w:tc>
          <w:tcPr>
            <w:tcW w:w="492" w:type="pct"/>
            <w:shd w:val="clear" w:color="auto" w:fill="auto"/>
            <w:tcMar>
              <w:top w:w="57" w:type="dxa"/>
              <w:left w:w="85" w:type="dxa"/>
              <w:bottom w:w="57" w:type="dxa"/>
              <w:right w:w="85" w:type="dxa"/>
            </w:tcMar>
            <w:vAlign w:val="center"/>
          </w:tcPr>
          <w:p w14:paraId="43F09B7E">
            <w:pPr>
              <w:jc w:val="center"/>
              <w:rPr>
                <w:rFonts w:ascii="Times New Roman" w:hAnsi="Times New Roman" w:eastAsia="黑体" w:cs="Times New Roman"/>
                <w:szCs w:val="21"/>
                <w:highlight w:val="none"/>
              </w:rPr>
            </w:pPr>
            <w:r>
              <w:rPr>
                <w:rFonts w:ascii="Times New Roman" w:hAnsi="黑体" w:eastAsia="黑体" w:cs="Times New Roman"/>
                <w:bCs/>
                <w:color w:val="000000"/>
                <w:szCs w:val="21"/>
                <w:highlight w:val="none"/>
              </w:rPr>
              <w:t>否</w:t>
            </w:r>
          </w:p>
        </w:tc>
        <w:tc>
          <w:tcPr>
            <w:tcW w:w="410" w:type="pct"/>
            <w:shd w:val="clear" w:color="auto" w:fill="auto"/>
            <w:vAlign w:val="center"/>
          </w:tcPr>
          <w:p w14:paraId="58ABCE86">
            <w:pPr>
              <w:jc w:val="center"/>
              <w:rPr>
                <w:rFonts w:ascii="Times New Roman" w:hAnsi="Times New Roman" w:eastAsia="黑体" w:cs="Times New Roman"/>
                <w:bCs/>
                <w:color w:val="000000"/>
                <w:szCs w:val="21"/>
                <w:highlight w:val="none"/>
              </w:rPr>
            </w:pPr>
            <w:r>
              <w:rPr>
                <w:rFonts w:ascii="Times New Roman" w:hAnsi="黑体" w:eastAsia="黑体" w:cs="Times New Roman"/>
                <w:bCs/>
                <w:kern w:val="0"/>
                <w:szCs w:val="21"/>
                <w:highlight w:val="none"/>
              </w:rPr>
              <w:t>备注</w:t>
            </w:r>
          </w:p>
        </w:tc>
      </w:tr>
      <w:tr w14:paraId="14F25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553CBDA2">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w:t>
            </w:r>
          </w:p>
        </w:tc>
        <w:tc>
          <w:tcPr>
            <w:tcW w:w="3010" w:type="pct"/>
            <w:shd w:val="clear" w:color="auto" w:fill="auto"/>
            <w:tcMar>
              <w:top w:w="57" w:type="dxa"/>
              <w:left w:w="85" w:type="dxa"/>
              <w:bottom w:w="57" w:type="dxa"/>
              <w:right w:w="85" w:type="dxa"/>
            </w:tcMar>
          </w:tcPr>
          <w:p w14:paraId="0174331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是否提交了申报产品与“目录”对应项目的对比资料，且该资料应能证明申报产品与“目录”所述的产品具有等同性。</w:t>
            </w:r>
          </w:p>
          <w:p w14:paraId="615C4784">
            <w:pPr>
              <w:rPr>
                <w:rFonts w:ascii="Times New Roman" w:hAnsi="Times New Roman" w:eastAsia="仿宋_GB2312" w:cs="Times New Roman"/>
                <w:szCs w:val="21"/>
                <w:highlight w:val="none"/>
              </w:rPr>
            </w:pPr>
          </w:p>
          <w:p w14:paraId="7B206594">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注：若提供信息不足以做出判断，可勾选“否”，并在备注里注明待相关问题补充完毕后继续审查。</w:t>
            </w:r>
          </w:p>
        </w:tc>
        <w:tc>
          <w:tcPr>
            <w:tcW w:w="411" w:type="pct"/>
            <w:shd w:val="clear" w:color="auto" w:fill="auto"/>
            <w:tcMar>
              <w:top w:w="57" w:type="dxa"/>
              <w:left w:w="85" w:type="dxa"/>
              <w:bottom w:w="57" w:type="dxa"/>
              <w:right w:w="85" w:type="dxa"/>
            </w:tcMar>
            <w:vAlign w:val="center"/>
          </w:tcPr>
          <w:p w14:paraId="0D5A7A28">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 name="图片 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59009CB3">
            <w:pPr>
              <w:jc w:val="center"/>
              <w:rPr>
                <w:rFonts w:ascii="Times New Roman" w:hAnsi="Times New Roman" w:cs="Times New Roman"/>
                <w:b/>
                <w:bCs/>
                <w:color w:val="000000"/>
                <w:szCs w:val="21"/>
                <w:highlight w:val="none"/>
              </w:rPr>
            </w:pPr>
          </w:p>
        </w:tc>
        <w:tc>
          <w:tcPr>
            <w:tcW w:w="492" w:type="pct"/>
            <w:shd w:val="clear" w:color="auto" w:fill="auto"/>
            <w:tcMar>
              <w:top w:w="57" w:type="dxa"/>
              <w:left w:w="85" w:type="dxa"/>
              <w:bottom w:w="57" w:type="dxa"/>
              <w:right w:w="85" w:type="dxa"/>
            </w:tcMar>
            <w:vAlign w:val="center"/>
          </w:tcPr>
          <w:p w14:paraId="1689CBBA">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 name="图片 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0711EE17">
            <w:pPr>
              <w:jc w:val="center"/>
              <w:rPr>
                <w:rFonts w:ascii="Times New Roman" w:hAnsi="Times New Roman" w:cs="Times New Roman"/>
                <w:szCs w:val="21"/>
                <w:highlight w:val="none"/>
              </w:rPr>
            </w:pPr>
          </w:p>
        </w:tc>
      </w:tr>
      <w:tr w14:paraId="40980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09A91639">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w:t>
            </w:r>
          </w:p>
        </w:tc>
        <w:tc>
          <w:tcPr>
            <w:tcW w:w="3010" w:type="pct"/>
            <w:shd w:val="clear" w:color="auto" w:fill="auto"/>
            <w:tcMar>
              <w:top w:w="57" w:type="dxa"/>
              <w:left w:w="85" w:type="dxa"/>
              <w:bottom w:w="57" w:type="dxa"/>
              <w:right w:w="85" w:type="dxa"/>
            </w:tcMar>
          </w:tcPr>
          <w:p w14:paraId="36B9067F">
            <w:pPr>
              <w:pStyle w:val="16"/>
              <w:snapToGrid w:val="0"/>
              <w:spacing w:beforeLines="15" w:line="276" w:lineRule="auto"/>
              <w:rPr>
                <w:rFonts w:ascii="Times New Roman" w:hAnsi="Times New Roman" w:eastAsia="仿宋_GB2312"/>
                <w:color w:val="000000"/>
                <w:sz w:val="21"/>
                <w:szCs w:val="21"/>
                <w:highlight w:val="none"/>
              </w:rPr>
            </w:pPr>
            <w:r>
              <w:rPr>
                <w:rFonts w:ascii="Times New Roman" w:hAnsi="Times New Roman" w:eastAsia="仿宋_GB2312"/>
                <w:color w:val="000000"/>
                <w:sz w:val="21"/>
                <w:szCs w:val="21"/>
                <w:highlight w:val="none"/>
              </w:rPr>
              <w:t>是否提交了临床评价综述.</w:t>
            </w:r>
          </w:p>
          <w:p w14:paraId="02A6CEA0">
            <w:pPr>
              <w:pStyle w:val="16"/>
              <w:snapToGrid w:val="0"/>
              <w:spacing w:beforeLines="15" w:line="276" w:lineRule="auto"/>
              <w:rPr>
                <w:rFonts w:ascii="Times New Roman" w:hAnsi="Times New Roman" w:eastAsia="仿宋_GB2312"/>
                <w:color w:val="000000"/>
                <w:sz w:val="21"/>
                <w:szCs w:val="21"/>
                <w:highlight w:val="none"/>
              </w:rPr>
            </w:pPr>
            <w:r>
              <w:rPr>
                <w:rFonts w:ascii="Times New Roman" w:hAnsi="Times New Roman" w:eastAsia="仿宋_GB2312"/>
                <w:color w:val="000000"/>
                <w:sz w:val="21"/>
                <w:szCs w:val="21"/>
                <w:highlight w:val="none"/>
              </w:rPr>
              <w:t>1. 简要总结支持产品注册申报的临床评价过程和数据，说明临床评价路径和关键内容，包括试验地点（如机构）、试验方法、受试者及样本、评价指标及可接受标准、试验结果、结论、资料位置等。</w:t>
            </w:r>
          </w:p>
          <w:p w14:paraId="13620163">
            <w:pPr>
              <w:rPr>
                <w:rFonts w:ascii="Times New Roman" w:hAnsi="Times New Roman" w:eastAsia="仿宋_GB2312" w:cs="Times New Roman"/>
                <w:szCs w:val="21"/>
                <w:highlight w:val="none"/>
              </w:rPr>
            </w:pPr>
            <w:r>
              <w:rPr>
                <w:rFonts w:ascii="Times New Roman" w:hAnsi="Times New Roman" w:eastAsia="仿宋_GB2312" w:cs="Times New Roman"/>
                <w:color w:val="000000"/>
                <w:szCs w:val="21"/>
                <w:highlight w:val="none"/>
              </w:rPr>
              <w:t>2. 论证上述数据用于支持本次申报的理由及充分性。</w:t>
            </w:r>
          </w:p>
        </w:tc>
        <w:tc>
          <w:tcPr>
            <w:tcW w:w="411" w:type="pct"/>
            <w:shd w:val="clear" w:color="auto" w:fill="auto"/>
            <w:tcMar>
              <w:top w:w="57" w:type="dxa"/>
              <w:left w:w="85" w:type="dxa"/>
              <w:bottom w:w="57" w:type="dxa"/>
              <w:right w:w="85" w:type="dxa"/>
            </w:tcMar>
            <w:vAlign w:val="center"/>
          </w:tcPr>
          <w:p w14:paraId="4692F418">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66" name="图片 6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69B8E969">
            <w:pPr>
              <w:jc w:val="center"/>
              <w:rPr>
                <w:rFonts w:ascii="Times New Roman" w:hAnsi="Times New Roman" w:cs="Times New Roman"/>
                <w:b/>
                <w:bCs/>
                <w:color w:val="000000"/>
                <w:szCs w:val="21"/>
                <w:highlight w:val="none"/>
              </w:rPr>
            </w:pPr>
          </w:p>
        </w:tc>
        <w:tc>
          <w:tcPr>
            <w:tcW w:w="492" w:type="pct"/>
            <w:shd w:val="clear" w:color="auto" w:fill="auto"/>
            <w:tcMar>
              <w:top w:w="57" w:type="dxa"/>
              <w:left w:w="85" w:type="dxa"/>
              <w:bottom w:w="57" w:type="dxa"/>
              <w:right w:w="85" w:type="dxa"/>
            </w:tcMar>
            <w:vAlign w:val="center"/>
          </w:tcPr>
          <w:p w14:paraId="27C81E12">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71" name="图片 7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5F1B2AB7">
            <w:pPr>
              <w:jc w:val="center"/>
              <w:rPr>
                <w:rFonts w:ascii="Times New Roman" w:hAnsi="Times New Roman" w:cs="Times New Roman"/>
                <w:szCs w:val="21"/>
                <w:highlight w:val="none"/>
              </w:rPr>
            </w:pPr>
          </w:p>
        </w:tc>
      </w:tr>
      <w:tr w14:paraId="645CD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056EF62F">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w:t>
            </w:r>
          </w:p>
        </w:tc>
        <w:tc>
          <w:tcPr>
            <w:tcW w:w="3010" w:type="pct"/>
            <w:shd w:val="clear" w:color="auto" w:fill="auto"/>
            <w:tcMar>
              <w:top w:w="57" w:type="dxa"/>
              <w:left w:w="85" w:type="dxa"/>
              <w:bottom w:w="57" w:type="dxa"/>
              <w:right w:w="85" w:type="dxa"/>
            </w:tcMar>
          </w:tcPr>
          <w:p w14:paraId="49AAF4EA">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选择同品种方法学比对研究时，对比试剂是否满足以下条件：</w:t>
            </w:r>
          </w:p>
          <w:p w14:paraId="51E80D04">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 境内已经取得上市许可；</w:t>
            </w:r>
          </w:p>
          <w:p w14:paraId="59F6106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 与待评价试剂具有相同的预期用途；</w:t>
            </w:r>
          </w:p>
          <w:p w14:paraId="1156D93C">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 对于定量试剂，对比试剂与待评价试剂的检测结果应具有相同的计量单位或二者之间的计量单位可相互转化；</w:t>
            </w:r>
          </w:p>
          <w:p w14:paraId="6A2B7FFD">
            <w:pPr>
              <w:rPr>
                <w:rFonts w:ascii="Times New Roman" w:hAnsi="Times New Roman" w:eastAsia="仿宋_GB2312" w:cs="Times New Roman"/>
                <w:color w:val="FF0000"/>
                <w:szCs w:val="21"/>
                <w:highlight w:val="none"/>
              </w:rPr>
            </w:pPr>
            <w:r>
              <w:rPr>
                <w:rFonts w:ascii="Times New Roman" w:hAnsi="Times New Roman" w:eastAsia="仿宋_GB2312" w:cs="Times New Roman"/>
                <w:szCs w:val="21"/>
                <w:highlight w:val="none"/>
              </w:rPr>
              <w:t>4. 优先选择与待评价试剂检测结果偏差较小的试剂，不建议选择性能劣于待评价试剂的作为对比试剂</w:t>
            </w:r>
          </w:p>
        </w:tc>
        <w:tc>
          <w:tcPr>
            <w:tcW w:w="411" w:type="pct"/>
            <w:shd w:val="clear" w:color="auto" w:fill="auto"/>
            <w:tcMar>
              <w:top w:w="57" w:type="dxa"/>
              <w:left w:w="85" w:type="dxa"/>
              <w:bottom w:w="57" w:type="dxa"/>
              <w:right w:w="85" w:type="dxa"/>
            </w:tcMar>
            <w:vAlign w:val="center"/>
          </w:tcPr>
          <w:p w14:paraId="3143F9CF">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9" name="图片 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3561932F">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3" name="图片 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14:paraId="082F058F">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0" name="图片 1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2E903A2C">
            <w:pPr>
              <w:jc w:val="center"/>
              <w:rPr>
                <w:rFonts w:ascii="Times New Roman" w:hAnsi="Times New Roman" w:cs="Times New Roman"/>
                <w:szCs w:val="21"/>
                <w:highlight w:val="none"/>
              </w:rPr>
            </w:pPr>
          </w:p>
        </w:tc>
      </w:tr>
      <w:tr w14:paraId="5C275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2862B5EE">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w:t>
            </w:r>
          </w:p>
        </w:tc>
        <w:tc>
          <w:tcPr>
            <w:tcW w:w="3010" w:type="pct"/>
            <w:shd w:val="clear" w:color="auto" w:fill="auto"/>
            <w:tcMar>
              <w:top w:w="57" w:type="dxa"/>
              <w:left w:w="85" w:type="dxa"/>
              <w:bottom w:w="57" w:type="dxa"/>
              <w:right w:w="85" w:type="dxa"/>
            </w:tcMar>
          </w:tcPr>
          <w:p w14:paraId="4BD7F19E">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选择同品种方法学比对研究时，样本量是否符合《免于临床试验的体外诊断试剂临床评价技术指导原则》的要求。</w:t>
            </w:r>
          </w:p>
        </w:tc>
        <w:tc>
          <w:tcPr>
            <w:tcW w:w="411" w:type="pct"/>
            <w:shd w:val="clear" w:color="auto" w:fill="auto"/>
            <w:tcMar>
              <w:top w:w="57" w:type="dxa"/>
              <w:left w:w="85" w:type="dxa"/>
              <w:bottom w:w="57" w:type="dxa"/>
              <w:right w:w="85" w:type="dxa"/>
            </w:tcMar>
            <w:vAlign w:val="center"/>
          </w:tcPr>
          <w:p w14:paraId="3419ECC9">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4" name="图片 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606838BD">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5" name="图片 5"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14:paraId="2C9DE8FE">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6" name="图片 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5EDE555A">
            <w:pPr>
              <w:jc w:val="center"/>
              <w:rPr>
                <w:rFonts w:ascii="Times New Roman" w:hAnsi="Times New Roman" w:cs="Times New Roman"/>
                <w:szCs w:val="21"/>
                <w:highlight w:val="none"/>
              </w:rPr>
            </w:pPr>
          </w:p>
        </w:tc>
      </w:tr>
      <w:tr w14:paraId="0A1B2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72724A21">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w:t>
            </w:r>
          </w:p>
        </w:tc>
        <w:tc>
          <w:tcPr>
            <w:tcW w:w="3010" w:type="pct"/>
            <w:shd w:val="clear" w:color="auto" w:fill="auto"/>
            <w:tcMar>
              <w:top w:w="57" w:type="dxa"/>
              <w:left w:w="85" w:type="dxa"/>
              <w:bottom w:w="57" w:type="dxa"/>
              <w:right w:w="85" w:type="dxa"/>
            </w:tcMar>
          </w:tcPr>
          <w:p w14:paraId="67F3F7CA">
            <w:pPr>
              <w:rPr>
                <w:rFonts w:ascii="Times New Roman" w:hAnsi="Times New Roman" w:eastAsia="仿宋_GB2312" w:cs="Times New Roman"/>
                <w:szCs w:val="21"/>
                <w:highlight w:val="none"/>
              </w:rPr>
            </w:pPr>
            <w:r>
              <w:rPr>
                <w:rFonts w:ascii="Times New Roman" w:hAnsi="Times New Roman" w:eastAsia="仿宋_GB2312" w:cs="Times New Roman"/>
                <w:kern w:val="0"/>
                <w:szCs w:val="21"/>
                <w:highlight w:val="none"/>
              </w:rPr>
              <w:t>与境内已上市同类产品进行比较研究试验时，是否提交了已上市产品的境内注册信息及说明书。</w:t>
            </w:r>
          </w:p>
        </w:tc>
        <w:tc>
          <w:tcPr>
            <w:tcW w:w="411" w:type="pct"/>
            <w:shd w:val="clear" w:color="auto" w:fill="auto"/>
            <w:tcMar>
              <w:top w:w="57" w:type="dxa"/>
              <w:left w:w="85" w:type="dxa"/>
              <w:bottom w:w="57" w:type="dxa"/>
              <w:right w:w="85" w:type="dxa"/>
            </w:tcMar>
            <w:vAlign w:val="center"/>
          </w:tcPr>
          <w:p w14:paraId="273AE509">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1" name="图片 1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68A9220A">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2" name="图片 1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14:paraId="4533B4EB">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3" name="图片 1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01600E03">
            <w:pPr>
              <w:jc w:val="center"/>
              <w:rPr>
                <w:rFonts w:ascii="Times New Roman" w:hAnsi="Times New Roman" w:cs="Times New Roman"/>
                <w:szCs w:val="21"/>
                <w:highlight w:val="none"/>
              </w:rPr>
            </w:pPr>
          </w:p>
        </w:tc>
      </w:tr>
      <w:tr w14:paraId="5F82A6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00DB1294">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w:t>
            </w:r>
          </w:p>
        </w:tc>
        <w:tc>
          <w:tcPr>
            <w:tcW w:w="3010" w:type="pct"/>
            <w:shd w:val="clear" w:color="auto" w:fill="auto"/>
            <w:tcMar>
              <w:top w:w="57" w:type="dxa"/>
              <w:left w:w="85" w:type="dxa"/>
              <w:bottom w:w="57" w:type="dxa"/>
              <w:right w:w="85" w:type="dxa"/>
            </w:tcMar>
          </w:tcPr>
          <w:p w14:paraId="6E3FF66D">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是否提交了采用待评价试剂与参考测量程序或诊断准确度标准进行的比对研究。</w:t>
            </w:r>
          </w:p>
          <w:p w14:paraId="15E2499D">
            <w:pPr>
              <w:rPr>
                <w:rFonts w:ascii="Times New Roman" w:hAnsi="Times New Roman" w:eastAsia="仿宋_GB2312" w:cs="Times New Roman"/>
                <w:kern w:val="0"/>
                <w:szCs w:val="21"/>
                <w:highlight w:val="none"/>
              </w:rPr>
            </w:pPr>
          </w:p>
          <w:p w14:paraId="47DC6798">
            <w:pPr>
              <w:rPr>
                <w:rFonts w:ascii="Times New Roman" w:hAnsi="Times New Roman" w:eastAsia="仿宋_GB2312" w:cs="Times New Roman"/>
                <w:kern w:val="0"/>
                <w:szCs w:val="21"/>
                <w:highlight w:val="none"/>
              </w:rPr>
            </w:pPr>
            <w:r>
              <w:rPr>
                <w:rFonts w:ascii="Times New Roman" w:eastAsia="仿宋_GB2312" w:cs="Times New Roman"/>
                <w:szCs w:val="21"/>
                <w:highlight w:val="none"/>
              </w:rPr>
              <w:t>注：对适用性进行判断。</w:t>
            </w:r>
          </w:p>
        </w:tc>
        <w:tc>
          <w:tcPr>
            <w:tcW w:w="411" w:type="pct"/>
            <w:shd w:val="clear" w:color="auto" w:fill="auto"/>
            <w:tcMar>
              <w:top w:w="57" w:type="dxa"/>
              <w:left w:w="85" w:type="dxa"/>
              <w:bottom w:w="57" w:type="dxa"/>
              <w:right w:w="85" w:type="dxa"/>
            </w:tcMar>
            <w:vAlign w:val="center"/>
          </w:tcPr>
          <w:p w14:paraId="656CB13F">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6" name="图片 16"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270F169C">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3" name="图片 23"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14:paraId="0B80ABBC">
            <w:pPr>
              <w:jc w:val="center"/>
              <w:rPr>
                <w:rFonts w:ascii="Times New Roman" w:hAnsi="Times New Roman" w:cs="Times New Roman"/>
                <w:color w:val="000000"/>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4" name="图片 24"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61127085">
            <w:pPr>
              <w:jc w:val="center"/>
              <w:rPr>
                <w:rFonts w:ascii="Times New Roman" w:hAnsi="Times New Roman" w:cs="Times New Roman"/>
                <w:szCs w:val="21"/>
                <w:highlight w:val="none"/>
              </w:rPr>
            </w:pPr>
          </w:p>
        </w:tc>
      </w:tr>
      <w:tr w14:paraId="15834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vMerge w:val="restart"/>
            <w:shd w:val="clear" w:color="auto" w:fill="auto"/>
            <w:vAlign w:val="center"/>
          </w:tcPr>
          <w:p w14:paraId="28A189C9">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7</w:t>
            </w:r>
          </w:p>
        </w:tc>
        <w:tc>
          <w:tcPr>
            <w:tcW w:w="4733" w:type="pct"/>
            <w:gridSpan w:val="5"/>
            <w:shd w:val="clear" w:color="auto" w:fill="auto"/>
            <w:tcMar>
              <w:top w:w="57" w:type="dxa"/>
              <w:left w:w="85" w:type="dxa"/>
              <w:bottom w:w="57" w:type="dxa"/>
              <w:right w:w="85" w:type="dxa"/>
            </w:tcMar>
          </w:tcPr>
          <w:p w14:paraId="46F472B5">
            <w:pPr>
              <w:jc w:val="left"/>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临床评价报告内容：</w:t>
            </w:r>
          </w:p>
        </w:tc>
      </w:tr>
      <w:tr w14:paraId="6F25B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vMerge w:val="continue"/>
            <w:shd w:val="clear" w:color="auto" w:fill="auto"/>
            <w:vAlign w:val="center"/>
          </w:tcPr>
          <w:p w14:paraId="6CE38B18">
            <w:pPr>
              <w:jc w:val="center"/>
              <w:rPr>
                <w:rFonts w:ascii="Times New Roman" w:hAnsi="Times New Roman" w:eastAsia="仿宋_GB2312" w:cs="Times New Roman"/>
                <w:szCs w:val="21"/>
                <w:highlight w:val="none"/>
              </w:rPr>
            </w:pPr>
          </w:p>
        </w:tc>
        <w:tc>
          <w:tcPr>
            <w:tcW w:w="3010" w:type="pct"/>
            <w:shd w:val="clear" w:color="auto" w:fill="auto"/>
            <w:tcMar>
              <w:top w:w="57" w:type="dxa"/>
              <w:left w:w="85" w:type="dxa"/>
              <w:bottom w:w="57" w:type="dxa"/>
              <w:right w:w="85" w:type="dxa"/>
            </w:tcMar>
          </w:tcPr>
          <w:p w14:paraId="4B24F050">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是否提交了描述性比对分析。</w:t>
            </w:r>
          </w:p>
          <w:p w14:paraId="1A3CA0C7">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如采用同品种方法学比对研究，申请人应提交待评价试剂与对比试剂的详细比对分析资料，应详述二者的异同，并提交异同来源的支持资料。如二者存在差异，申请人还应提交差异是否会对人体样本的检测性能产生明显影响的评估资料。</w:t>
            </w:r>
          </w:p>
          <w:p w14:paraId="7996BB67">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如采用参考测量程序或诊断准确度标准作为对比方法，申请人应详细说明选择参考测量程序或诊断准确度标准作为对比方法的理由，并提交所选参考测量程序或诊断准确度标准的详细资料，包括操作方法、判定标准等。</w:t>
            </w:r>
          </w:p>
        </w:tc>
        <w:tc>
          <w:tcPr>
            <w:tcW w:w="411" w:type="pct"/>
            <w:shd w:val="clear" w:color="auto" w:fill="auto"/>
            <w:tcMar>
              <w:top w:w="57" w:type="dxa"/>
              <w:left w:w="85" w:type="dxa"/>
              <w:bottom w:w="57" w:type="dxa"/>
              <w:right w:w="85" w:type="dxa"/>
            </w:tcMar>
            <w:vAlign w:val="center"/>
          </w:tcPr>
          <w:p w14:paraId="099BC7D9">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19" name="图片 1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43CA9FEC">
            <w:pPr>
              <w:jc w:val="center"/>
              <w:rPr>
                <w:rFonts w:ascii="Times New Roman" w:hAnsi="Times New Roman" w:cs="Times New Roman"/>
                <w:szCs w:val="21"/>
                <w:highlight w:val="none"/>
              </w:rPr>
            </w:pPr>
          </w:p>
        </w:tc>
        <w:tc>
          <w:tcPr>
            <w:tcW w:w="492" w:type="pct"/>
            <w:shd w:val="clear" w:color="auto" w:fill="auto"/>
            <w:tcMar>
              <w:top w:w="57" w:type="dxa"/>
              <w:left w:w="85" w:type="dxa"/>
              <w:bottom w:w="57" w:type="dxa"/>
              <w:right w:w="85" w:type="dxa"/>
            </w:tcMar>
            <w:vAlign w:val="center"/>
          </w:tcPr>
          <w:p w14:paraId="7B1B39CA">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0" name="图片 20"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0554D20C">
            <w:pPr>
              <w:jc w:val="center"/>
              <w:rPr>
                <w:rFonts w:ascii="Times New Roman" w:hAnsi="Times New Roman" w:cs="Times New Roman"/>
                <w:szCs w:val="21"/>
                <w:highlight w:val="none"/>
              </w:rPr>
            </w:pPr>
          </w:p>
        </w:tc>
      </w:tr>
      <w:tr w14:paraId="28E44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vMerge w:val="continue"/>
            <w:shd w:val="clear" w:color="auto" w:fill="auto"/>
            <w:vAlign w:val="center"/>
          </w:tcPr>
          <w:p w14:paraId="7F8886C2">
            <w:pPr>
              <w:jc w:val="center"/>
              <w:rPr>
                <w:rFonts w:ascii="Times New Roman" w:hAnsi="Times New Roman" w:eastAsia="仿宋_GB2312" w:cs="Times New Roman"/>
                <w:szCs w:val="21"/>
                <w:highlight w:val="none"/>
              </w:rPr>
            </w:pPr>
          </w:p>
        </w:tc>
        <w:tc>
          <w:tcPr>
            <w:tcW w:w="3010" w:type="pct"/>
            <w:shd w:val="clear" w:color="auto" w:fill="auto"/>
            <w:tcMar>
              <w:top w:w="57" w:type="dxa"/>
              <w:left w:w="85" w:type="dxa"/>
              <w:bottom w:w="57" w:type="dxa"/>
              <w:right w:w="85" w:type="dxa"/>
            </w:tcMar>
          </w:tcPr>
          <w:p w14:paraId="111C23F3">
            <w:pPr>
              <w:rPr>
                <w:rFonts w:ascii="Times New Roman" w:hAnsi="Times New Roman" w:eastAsia="仿宋_GB2312" w:cs="Times New Roman"/>
                <w:kern w:val="0"/>
                <w:szCs w:val="21"/>
                <w:highlight w:val="none"/>
              </w:rPr>
            </w:pPr>
            <w:r>
              <w:rPr>
                <w:rFonts w:ascii="Times New Roman" w:hAnsi="Times New Roman" w:eastAsia="仿宋_GB2312" w:cs="Times New Roman"/>
                <w:kern w:val="0"/>
                <w:szCs w:val="21"/>
                <w:highlight w:val="none"/>
              </w:rPr>
              <w:t>是否提交了比对性能数据，包括：</w:t>
            </w:r>
          </w:p>
          <w:p w14:paraId="7208DE2D">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1.基本信息。</w:t>
            </w:r>
          </w:p>
          <w:p w14:paraId="08B486B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2.试验设计。</w:t>
            </w:r>
          </w:p>
          <w:p w14:paraId="64941FE3">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3.试验实施情况。</w:t>
            </w:r>
          </w:p>
          <w:p w14:paraId="6CE7028B">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4.试验管理，包括参加人员、质量控制情况、数据管理、出现的问题及处理措施等。</w:t>
            </w:r>
          </w:p>
          <w:p w14:paraId="098E1B05">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5.统计分析及评价结果总结。</w:t>
            </w:r>
          </w:p>
          <w:p w14:paraId="5AD54CAE">
            <w:pP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6.数据汇总表。</w:t>
            </w:r>
          </w:p>
        </w:tc>
        <w:tc>
          <w:tcPr>
            <w:tcW w:w="411" w:type="pct"/>
            <w:shd w:val="clear" w:color="auto" w:fill="auto"/>
            <w:tcMar>
              <w:top w:w="57" w:type="dxa"/>
              <w:left w:w="85" w:type="dxa"/>
              <w:bottom w:w="57" w:type="dxa"/>
              <w:right w:w="85" w:type="dxa"/>
            </w:tcMar>
            <w:vAlign w:val="center"/>
          </w:tcPr>
          <w:p w14:paraId="5351B2F9">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1" name="图片 21"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228A95EF">
            <w:pPr>
              <w:jc w:val="center"/>
              <w:rPr>
                <w:rFonts w:ascii="Times New Roman" w:hAnsi="Times New Roman" w:cs="Times New Roman"/>
                <w:szCs w:val="21"/>
                <w:highlight w:val="none"/>
              </w:rPr>
            </w:pPr>
          </w:p>
        </w:tc>
        <w:tc>
          <w:tcPr>
            <w:tcW w:w="492" w:type="pct"/>
            <w:shd w:val="clear" w:color="auto" w:fill="auto"/>
            <w:tcMar>
              <w:top w:w="57" w:type="dxa"/>
              <w:left w:w="85" w:type="dxa"/>
              <w:bottom w:w="57" w:type="dxa"/>
              <w:right w:w="85" w:type="dxa"/>
            </w:tcMar>
            <w:vAlign w:val="center"/>
          </w:tcPr>
          <w:p w14:paraId="6A1E1413">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2" name="图片 22"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38399075">
            <w:pPr>
              <w:jc w:val="center"/>
              <w:rPr>
                <w:rFonts w:ascii="Times New Roman" w:hAnsi="Times New Roman" w:cs="Times New Roman"/>
                <w:szCs w:val="21"/>
                <w:highlight w:val="none"/>
              </w:rPr>
            </w:pPr>
          </w:p>
        </w:tc>
      </w:tr>
      <w:tr w14:paraId="364320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40" w:type="dxa"/>
            <w:bottom w:w="0" w:type="dxa"/>
            <w:right w:w="40" w:type="dxa"/>
          </w:tblCellMar>
        </w:tblPrEx>
        <w:tc>
          <w:tcPr>
            <w:tcW w:w="267" w:type="pct"/>
            <w:shd w:val="clear" w:color="auto" w:fill="auto"/>
            <w:vAlign w:val="center"/>
          </w:tcPr>
          <w:p w14:paraId="2CBB4570">
            <w:pPr>
              <w:jc w:val="center"/>
              <w:rPr>
                <w:rFonts w:ascii="Times New Roman" w:hAnsi="Times New Roman" w:eastAsia="仿宋_GB2312" w:cs="Times New Roman"/>
                <w:szCs w:val="21"/>
                <w:highlight w:val="none"/>
              </w:rPr>
            </w:pPr>
            <w:r>
              <w:rPr>
                <w:rFonts w:ascii="Times New Roman" w:hAnsi="Times New Roman" w:eastAsia="仿宋_GB2312" w:cs="Times New Roman"/>
                <w:szCs w:val="21"/>
                <w:highlight w:val="none"/>
              </w:rPr>
              <w:t>8</w:t>
            </w:r>
          </w:p>
        </w:tc>
        <w:tc>
          <w:tcPr>
            <w:tcW w:w="3010" w:type="pct"/>
            <w:shd w:val="clear" w:color="auto" w:fill="auto"/>
            <w:tcMar>
              <w:top w:w="57" w:type="dxa"/>
              <w:left w:w="85" w:type="dxa"/>
              <w:bottom w:w="57" w:type="dxa"/>
              <w:right w:w="85" w:type="dxa"/>
            </w:tcMar>
          </w:tcPr>
          <w:p w14:paraId="771D792B">
            <w:pPr>
              <w:pStyle w:val="17"/>
              <w:overflowPunct w:val="0"/>
              <w:spacing w:line="360" w:lineRule="auto"/>
              <w:ind w:firstLine="0" w:firstLineChars="0"/>
              <w:rPr>
                <w:rFonts w:eastAsia="仿宋_GB2312"/>
                <w:szCs w:val="21"/>
                <w:highlight w:val="none"/>
              </w:rPr>
            </w:pPr>
            <w:r>
              <w:rPr>
                <w:rFonts w:eastAsia="仿宋_GB2312"/>
                <w:szCs w:val="21"/>
                <w:highlight w:val="none"/>
              </w:rPr>
              <w:t>是否提交了其他资料。</w:t>
            </w:r>
          </w:p>
          <w:p w14:paraId="7AFAD2AD">
            <w:pPr>
              <w:rPr>
                <w:rFonts w:ascii="Times New Roman" w:hAnsi="Times New Roman" w:eastAsia="仿宋_GB2312" w:cs="Times New Roman"/>
                <w:szCs w:val="21"/>
                <w:highlight w:val="none"/>
              </w:rPr>
            </w:pPr>
            <w:r>
              <w:rPr>
                <w:rFonts w:ascii="Times New Roman" w:eastAsia="仿宋_GB2312" w:cs="Times New Roman"/>
                <w:szCs w:val="21"/>
                <w:highlight w:val="none"/>
              </w:rPr>
              <w:t>使用申报产品在境内、外完成的其他临床评价资料，包括临床评价的摘要、报告、数据和临床文献综述、经验数据等。</w:t>
            </w:r>
          </w:p>
          <w:p w14:paraId="43EFE21D">
            <w:pPr>
              <w:rPr>
                <w:rFonts w:ascii="Times New Roman" w:hAnsi="Times New Roman" w:eastAsia="仿宋_GB2312" w:cs="Times New Roman"/>
                <w:szCs w:val="21"/>
                <w:highlight w:val="none"/>
              </w:rPr>
            </w:pPr>
          </w:p>
          <w:p w14:paraId="184D011B">
            <w:pPr>
              <w:rPr>
                <w:rFonts w:ascii="Times New Roman" w:hAnsi="Times New Roman" w:eastAsia="仿宋_GB2312" w:cs="Times New Roman"/>
                <w:kern w:val="0"/>
                <w:szCs w:val="21"/>
                <w:highlight w:val="none"/>
              </w:rPr>
            </w:pPr>
            <w:r>
              <w:rPr>
                <w:rFonts w:ascii="Times New Roman" w:eastAsia="仿宋_GB2312" w:cs="Times New Roman"/>
                <w:szCs w:val="21"/>
                <w:highlight w:val="none"/>
              </w:rPr>
              <w:t>注：对适用性进行判断。</w:t>
            </w:r>
          </w:p>
        </w:tc>
        <w:tc>
          <w:tcPr>
            <w:tcW w:w="411" w:type="pct"/>
            <w:shd w:val="clear" w:color="auto" w:fill="auto"/>
            <w:tcMar>
              <w:top w:w="57" w:type="dxa"/>
              <w:left w:w="85" w:type="dxa"/>
              <w:bottom w:w="57" w:type="dxa"/>
              <w:right w:w="85" w:type="dxa"/>
            </w:tcMar>
            <w:vAlign w:val="center"/>
          </w:tcPr>
          <w:p w14:paraId="473CDA82">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7" name="图片 27"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vAlign w:val="center"/>
          </w:tcPr>
          <w:p w14:paraId="77431F4E">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8" name="图片 28"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92" w:type="pct"/>
            <w:shd w:val="clear" w:color="auto" w:fill="auto"/>
            <w:tcMar>
              <w:top w:w="57" w:type="dxa"/>
              <w:left w:w="85" w:type="dxa"/>
              <w:bottom w:w="57" w:type="dxa"/>
              <w:right w:w="85" w:type="dxa"/>
            </w:tcMar>
            <w:vAlign w:val="center"/>
          </w:tcPr>
          <w:p w14:paraId="599CE504">
            <w:pPr>
              <w:jc w:val="center"/>
              <w:rPr>
                <w:rFonts w:ascii="Times New Roman" w:hAnsi="Times New Roman" w:cs="Times New Roman"/>
                <w:szCs w:val="21"/>
                <w:highlight w:val="none"/>
              </w:rPr>
            </w:pPr>
            <w:r>
              <w:rPr>
                <w:rFonts w:ascii="Times New Roman" w:hAnsi="Times New Roman" w:cs="Times New Roman"/>
                <w:color w:val="000000"/>
                <w:szCs w:val="21"/>
                <w:highlight w:val="none"/>
              </w:rPr>
              <w:drawing>
                <wp:inline distT="0" distB="0" distL="0" distR="0">
                  <wp:extent cx="127000" cy="174625"/>
                  <wp:effectExtent l="0" t="0" r="6350" b="0"/>
                  <wp:docPr id="29" name="图片 29" descr="Checkbox-Y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Checkbox-Y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7000" cy="174625"/>
                          </a:xfrm>
                          <a:prstGeom prst="rect">
                            <a:avLst/>
                          </a:prstGeom>
                          <a:noFill/>
                          <a:ln>
                            <a:noFill/>
                          </a:ln>
                        </pic:spPr>
                      </pic:pic>
                    </a:graphicData>
                  </a:graphic>
                </wp:inline>
              </w:drawing>
            </w:r>
          </w:p>
        </w:tc>
        <w:tc>
          <w:tcPr>
            <w:tcW w:w="410" w:type="pct"/>
            <w:shd w:val="clear" w:color="auto" w:fill="auto"/>
          </w:tcPr>
          <w:p w14:paraId="3347F8F6">
            <w:pPr>
              <w:jc w:val="center"/>
              <w:rPr>
                <w:rFonts w:ascii="Times New Roman" w:hAnsi="Times New Roman" w:cs="Times New Roman"/>
                <w:szCs w:val="21"/>
                <w:highlight w:val="none"/>
              </w:rPr>
            </w:pPr>
          </w:p>
        </w:tc>
      </w:tr>
    </w:tbl>
    <w:p w14:paraId="3FED51D2">
      <w:pPr>
        <w:rPr>
          <w:rFonts w:ascii="Times New Roman" w:hAnsi="Times New Roman" w:cs="Times New Roman"/>
          <w:highlight w:val="none"/>
        </w:rPr>
      </w:pPr>
    </w:p>
    <w:p w14:paraId="09930749">
      <w:pPr>
        <w:widowControl/>
        <w:rPr>
          <w:rFonts w:ascii="Times New Roman" w:hAnsi="Times New Roman" w:cs="Times New Roman"/>
          <w:highlight w:val="none"/>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342412"/>
      <w:docPartObj>
        <w:docPartGallery w:val="autotext"/>
      </w:docPartObj>
    </w:sdtPr>
    <w:sdtContent>
      <w:p w14:paraId="19888FAE">
        <w:pPr>
          <w:pStyle w:val="4"/>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k1YjIzMmVjMjQ2Y2M3ZjAyZjkzYmQ3MmIzZDg0ZTcifQ=="/>
  </w:docVars>
  <w:rsids>
    <w:rsidRoot w:val="00B82CD1"/>
    <w:rsid w:val="0000026E"/>
    <w:rsid w:val="00006094"/>
    <w:rsid w:val="000061B2"/>
    <w:rsid w:val="00037A23"/>
    <w:rsid w:val="0004079E"/>
    <w:rsid w:val="00042CF3"/>
    <w:rsid w:val="00044E86"/>
    <w:rsid w:val="000466B0"/>
    <w:rsid w:val="0005527F"/>
    <w:rsid w:val="00064023"/>
    <w:rsid w:val="00064D9D"/>
    <w:rsid w:val="00067CBA"/>
    <w:rsid w:val="000709EC"/>
    <w:rsid w:val="00075E6A"/>
    <w:rsid w:val="00096111"/>
    <w:rsid w:val="000A4A64"/>
    <w:rsid w:val="000C1636"/>
    <w:rsid w:val="000C585A"/>
    <w:rsid w:val="000D51AA"/>
    <w:rsid w:val="000E1844"/>
    <w:rsid w:val="000E292A"/>
    <w:rsid w:val="000E7C83"/>
    <w:rsid w:val="000F11B9"/>
    <w:rsid w:val="00100D77"/>
    <w:rsid w:val="00101590"/>
    <w:rsid w:val="0011014B"/>
    <w:rsid w:val="00112526"/>
    <w:rsid w:val="00114B07"/>
    <w:rsid w:val="001178E6"/>
    <w:rsid w:val="00137AE5"/>
    <w:rsid w:val="0014045F"/>
    <w:rsid w:val="00141E68"/>
    <w:rsid w:val="00157DFE"/>
    <w:rsid w:val="001627EA"/>
    <w:rsid w:val="00162F8D"/>
    <w:rsid w:val="00167C1E"/>
    <w:rsid w:val="001724B4"/>
    <w:rsid w:val="00175EDE"/>
    <w:rsid w:val="00184C5B"/>
    <w:rsid w:val="0018723C"/>
    <w:rsid w:val="00190CB3"/>
    <w:rsid w:val="001971A1"/>
    <w:rsid w:val="001A017A"/>
    <w:rsid w:val="001A14E9"/>
    <w:rsid w:val="001A1717"/>
    <w:rsid w:val="001A218F"/>
    <w:rsid w:val="001A53C9"/>
    <w:rsid w:val="001C3858"/>
    <w:rsid w:val="001C6ABA"/>
    <w:rsid w:val="001C757C"/>
    <w:rsid w:val="001D0A4C"/>
    <w:rsid w:val="001D1A29"/>
    <w:rsid w:val="001D36E0"/>
    <w:rsid w:val="00200A0F"/>
    <w:rsid w:val="00205AB4"/>
    <w:rsid w:val="002064C4"/>
    <w:rsid w:val="002076CA"/>
    <w:rsid w:val="00207BEC"/>
    <w:rsid w:val="00216ED0"/>
    <w:rsid w:val="0023737F"/>
    <w:rsid w:val="0024189F"/>
    <w:rsid w:val="00251963"/>
    <w:rsid w:val="00252488"/>
    <w:rsid w:val="00254FD6"/>
    <w:rsid w:val="00270C66"/>
    <w:rsid w:val="00274D8B"/>
    <w:rsid w:val="002806AC"/>
    <w:rsid w:val="002808D8"/>
    <w:rsid w:val="002966FB"/>
    <w:rsid w:val="002A153F"/>
    <w:rsid w:val="002A290F"/>
    <w:rsid w:val="002A7504"/>
    <w:rsid w:val="002B63EC"/>
    <w:rsid w:val="002D0921"/>
    <w:rsid w:val="002E513D"/>
    <w:rsid w:val="002E677C"/>
    <w:rsid w:val="002F67C5"/>
    <w:rsid w:val="00305BC3"/>
    <w:rsid w:val="00307703"/>
    <w:rsid w:val="00307A59"/>
    <w:rsid w:val="00320ED5"/>
    <w:rsid w:val="00324C94"/>
    <w:rsid w:val="00341E90"/>
    <w:rsid w:val="00342970"/>
    <w:rsid w:val="003439FE"/>
    <w:rsid w:val="00347EDE"/>
    <w:rsid w:val="00350BBA"/>
    <w:rsid w:val="00354D8B"/>
    <w:rsid w:val="00356A81"/>
    <w:rsid w:val="00360DBC"/>
    <w:rsid w:val="00365463"/>
    <w:rsid w:val="00367FB9"/>
    <w:rsid w:val="003761A3"/>
    <w:rsid w:val="00381308"/>
    <w:rsid w:val="0038316E"/>
    <w:rsid w:val="0038591F"/>
    <w:rsid w:val="00391BC1"/>
    <w:rsid w:val="003948A5"/>
    <w:rsid w:val="00394A63"/>
    <w:rsid w:val="00395F42"/>
    <w:rsid w:val="003B70DD"/>
    <w:rsid w:val="003B7408"/>
    <w:rsid w:val="003C4FD9"/>
    <w:rsid w:val="003C64CA"/>
    <w:rsid w:val="003D1A9C"/>
    <w:rsid w:val="003D7A0A"/>
    <w:rsid w:val="003E1BF2"/>
    <w:rsid w:val="003E3FB8"/>
    <w:rsid w:val="003F2448"/>
    <w:rsid w:val="003F47D8"/>
    <w:rsid w:val="00401063"/>
    <w:rsid w:val="00411222"/>
    <w:rsid w:val="00411BF3"/>
    <w:rsid w:val="00413543"/>
    <w:rsid w:val="00414A77"/>
    <w:rsid w:val="00421A16"/>
    <w:rsid w:val="00422279"/>
    <w:rsid w:val="00425824"/>
    <w:rsid w:val="00433D9C"/>
    <w:rsid w:val="00435FF3"/>
    <w:rsid w:val="004362E3"/>
    <w:rsid w:val="004502E2"/>
    <w:rsid w:val="004513DB"/>
    <w:rsid w:val="00452033"/>
    <w:rsid w:val="00452747"/>
    <w:rsid w:val="00453692"/>
    <w:rsid w:val="004639F9"/>
    <w:rsid w:val="00472B53"/>
    <w:rsid w:val="0048378E"/>
    <w:rsid w:val="004857CB"/>
    <w:rsid w:val="0048647C"/>
    <w:rsid w:val="004A0F89"/>
    <w:rsid w:val="004A2201"/>
    <w:rsid w:val="004A354A"/>
    <w:rsid w:val="004B036D"/>
    <w:rsid w:val="004C76F7"/>
    <w:rsid w:val="004D2CE7"/>
    <w:rsid w:val="004D42F0"/>
    <w:rsid w:val="004E1510"/>
    <w:rsid w:val="004E785F"/>
    <w:rsid w:val="004F0452"/>
    <w:rsid w:val="004F3B10"/>
    <w:rsid w:val="00504E13"/>
    <w:rsid w:val="00504EB2"/>
    <w:rsid w:val="00513AF9"/>
    <w:rsid w:val="00524FC6"/>
    <w:rsid w:val="0053052A"/>
    <w:rsid w:val="00531BAB"/>
    <w:rsid w:val="00543381"/>
    <w:rsid w:val="0054398E"/>
    <w:rsid w:val="0054406B"/>
    <w:rsid w:val="00551C9F"/>
    <w:rsid w:val="0055613C"/>
    <w:rsid w:val="0056076E"/>
    <w:rsid w:val="0056476F"/>
    <w:rsid w:val="005702D7"/>
    <w:rsid w:val="005724FD"/>
    <w:rsid w:val="0057538C"/>
    <w:rsid w:val="00584C90"/>
    <w:rsid w:val="00592E69"/>
    <w:rsid w:val="0059467A"/>
    <w:rsid w:val="00596DF8"/>
    <w:rsid w:val="005A3B92"/>
    <w:rsid w:val="005B464B"/>
    <w:rsid w:val="005B4BAA"/>
    <w:rsid w:val="005B78DC"/>
    <w:rsid w:val="005E0197"/>
    <w:rsid w:val="005E1C47"/>
    <w:rsid w:val="005E326A"/>
    <w:rsid w:val="005E70D0"/>
    <w:rsid w:val="005F1772"/>
    <w:rsid w:val="00600EE4"/>
    <w:rsid w:val="0060537E"/>
    <w:rsid w:val="006209F2"/>
    <w:rsid w:val="006248CF"/>
    <w:rsid w:val="00625303"/>
    <w:rsid w:val="00631D80"/>
    <w:rsid w:val="0063563F"/>
    <w:rsid w:val="00640519"/>
    <w:rsid w:val="00640FF7"/>
    <w:rsid w:val="006417FD"/>
    <w:rsid w:val="0068117E"/>
    <w:rsid w:val="00681505"/>
    <w:rsid w:val="00682CE9"/>
    <w:rsid w:val="00686FC3"/>
    <w:rsid w:val="00693F39"/>
    <w:rsid w:val="006A225A"/>
    <w:rsid w:val="006B053C"/>
    <w:rsid w:val="006B151B"/>
    <w:rsid w:val="006B190A"/>
    <w:rsid w:val="006C13BF"/>
    <w:rsid w:val="006C1700"/>
    <w:rsid w:val="006C1E02"/>
    <w:rsid w:val="006C2524"/>
    <w:rsid w:val="006C4036"/>
    <w:rsid w:val="006D09D3"/>
    <w:rsid w:val="006E0060"/>
    <w:rsid w:val="006E210B"/>
    <w:rsid w:val="0070135C"/>
    <w:rsid w:val="007075B7"/>
    <w:rsid w:val="00717A8F"/>
    <w:rsid w:val="00724753"/>
    <w:rsid w:val="007302E9"/>
    <w:rsid w:val="00734025"/>
    <w:rsid w:val="00735532"/>
    <w:rsid w:val="007405E9"/>
    <w:rsid w:val="00741616"/>
    <w:rsid w:val="00745E43"/>
    <w:rsid w:val="007523C4"/>
    <w:rsid w:val="00754C09"/>
    <w:rsid w:val="00767C49"/>
    <w:rsid w:val="007736F0"/>
    <w:rsid w:val="0077439F"/>
    <w:rsid w:val="0077469E"/>
    <w:rsid w:val="007833E6"/>
    <w:rsid w:val="00797C82"/>
    <w:rsid w:val="007A1B6D"/>
    <w:rsid w:val="007A20E0"/>
    <w:rsid w:val="007B3FB7"/>
    <w:rsid w:val="007B4217"/>
    <w:rsid w:val="007B6636"/>
    <w:rsid w:val="007D61B2"/>
    <w:rsid w:val="007E094D"/>
    <w:rsid w:val="007E2C0C"/>
    <w:rsid w:val="007E634C"/>
    <w:rsid w:val="007F45F4"/>
    <w:rsid w:val="007F4C4D"/>
    <w:rsid w:val="008015AF"/>
    <w:rsid w:val="00801EE1"/>
    <w:rsid w:val="008055E8"/>
    <w:rsid w:val="00806B1D"/>
    <w:rsid w:val="00806F3C"/>
    <w:rsid w:val="00810A80"/>
    <w:rsid w:val="00822164"/>
    <w:rsid w:val="00822AA0"/>
    <w:rsid w:val="00826E58"/>
    <w:rsid w:val="0083545E"/>
    <w:rsid w:val="00835BC7"/>
    <w:rsid w:val="00842031"/>
    <w:rsid w:val="0084369C"/>
    <w:rsid w:val="00850667"/>
    <w:rsid w:val="008562EA"/>
    <w:rsid w:val="00857A22"/>
    <w:rsid w:val="00864E2C"/>
    <w:rsid w:val="008702BD"/>
    <w:rsid w:val="0088527B"/>
    <w:rsid w:val="008922A7"/>
    <w:rsid w:val="0089512A"/>
    <w:rsid w:val="008B2F90"/>
    <w:rsid w:val="008C271C"/>
    <w:rsid w:val="008D503F"/>
    <w:rsid w:val="008D534D"/>
    <w:rsid w:val="008D7203"/>
    <w:rsid w:val="008F263C"/>
    <w:rsid w:val="008F40FA"/>
    <w:rsid w:val="008F7173"/>
    <w:rsid w:val="00902A1A"/>
    <w:rsid w:val="00903CDF"/>
    <w:rsid w:val="0091446F"/>
    <w:rsid w:val="009148F7"/>
    <w:rsid w:val="00920ECE"/>
    <w:rsid w:val="00921ED8"/>
    <w:rsid w:val="009250B2"/>
    <w:rsid w:val="0093018A"/>
    <w:rsid w:val="00931AC8"/>
    <w:rsid w:val="00931F24"/>
    <w:rsid w:val="00932FC3"/>
    <w:rsid w:val="009353C1"/>
    <w:rsid w:val="0093600A"/>
    <w:rsid w:val="0094147C"/>
    <w:rsid w:val="00944ED5"/>
    <w:rsid w:val="0094506A"/>
    <w:rsid w:val="00952C97"/>
    <w:rsid w:val="00953902"/>
    <w:rsid w:val="00955003"/>
    <w:rsid w:val="009566A7"/>
    <w:rsid w:val="00976CD8"/>
    <w:rsid w:val="00976F33"/>
    <w:rsid w:val="009860BF"/>
    <w:rsid w:val="009878DB"/>
    <w:rsid w:val="00993C5C"/>
    <w:rsid w:val="009950BD"/>
    <w:rsid w:val="009A2E7C"/>
    <w:rsid w:val="009A42B9"/>
    <w:rsid w:val="009B14E2"/>
    <w:rsid w:val="009C23A3"/>
    <w:rsid w:val="009C44B9"/>
    <w:rsid w:val="009C4B40"/>
    <w:rsid w:val="009C4F40"/>
    <w:rsid w:val="009D0299"/>
    <w:rsid w:val="009D4EBE"/>
    <w:rsid w:val="009D7D30"/>
    <w:rsid w:val="009E0047"/>
    <w:rsid w:val="009E1211"/>
    <w:rsid w:val="009E2277"/>
    <w:rsid w:val="009E2C61"/>
    <w:rsid w:val="009F4422"/>
    <w:rsid w:val="00A120C9"/>
    <w:rsid w:val="00A2128C"/>
    <w:rsid w:val="00A24EBA"/>
    <w:rsid w:val="00A26F0A"/>
    <w:rsid w:val="00A3003B"/>
    <w:rsid w:val="00A302B2"/>
    <w:rsid w:val="00A32DB6"/>
    <w:rsid w:val="00A74523"/>
    <w:rsid w:val="00A8060B"/>
    <w:rsid w:val="00A80929"/>
    <w:rsid w:val="00A81C9D"/>
    <w:rsid w:val="00A92101"/>
    <w:rsid w:val="00A9545E"/>
    <w:rsid w:val="00A9633E"/>
    <w:rsid w:val="00A975EC"/>
    <w:rsid w:val="00AA4411"/>
    <w:rsid w:val="00AB10B6"/>
    <w:rsid w:val="00AB281D"/>
    <w:rsid w:val="00AB3E11"/>
    <w:rsid w:val="00AB716F"/>
    <w:rsid w:val="00AC0662"/>
    <w:rsid w:val="00AC33D4"/>
    <w:rsid w:val="00AC5732"/>
    <w:rsid w:val="00AC5DBB"/>
    <w:rsid w:val="00AD626D"/>
    <w:rsid w:val="00AE36DD"/>
    <w:rsid w:val="00AE549F"/>
    <w:rsid w:val="00AE56A6"/>
    <w:rsid w:val="00AE7C9F"/>
    <w:rsid w:val="00AE7DDE"/>
    <w:rsid w:val="00AF24F0"/>
    <w:rsid w:val="00AF639F"/>
    <w:rsid w:val="00B06FFF"/>
    <w:rsid w:val="00B15A8E"/>
    <w:rsid w:val="00B2130B"/>
    <w:rsid w:val="00B214E8"/>
    <w:rsid w:val="00B27CB2"/>
    <w:rsid w:val="00B30D70"/>
    <w:rsid w:val="00B314D5"/>
    <w:rsid w:val="00B41D90"/>
    <w:rsid w:val="00B46803"/>
    <w:rsid w:val="00B5242F"/>
    <w:rsid w:val="00B53C23"/>
    <w:rsid w:val="00B66B98"/>
    <w:rsid w:val="00B7093C"/>
    <w:rsid w:val="00B7147D"/>
    <w:rsid w:val="00B725FE"/>
    <w:rsid w:val="00B80151"/>
    <w:rsid w:val="00B804E2"/>
    <w:rsid w:val="00B80A11"/>
    <w:rsid w:val="00B80FA2"/>
    <w:rsid w:val="00B817EC"/>
    <w:rsid w:val="00B81DFA"/>
    <w:rsid w:val="00B82CD1"/>
    <w:rsid w:val="00B87329"/>
    <w:rsid w:val="00B93E5F"/>
    <w:rsid w:val="00B94F9B"/>
    <w:rsid w:val="00B969A2"/>
    <w:rsid w:val="00B97242"/>
    <w:rsid w:val="00B97BB2"/>
    <w:rsid w:val="00B97E7C"/>
    <w:rsid w:val="00BA291D"/>
    <w:rsid w:val="00BA42EA"/>
    <w:rsid w:val="00BA6015"/>
    <w:rsid w:val="00BB1D08"/>
    <w:rsid w:val="00BC2665"/>
    <w:rsid w:val="00BD2A97"/>
    <w:rsid w:val="00BE3C20"/>
    <w:rsid w:val="00BF0650"/>
    <w:rsid w:val="00BF45B7"/>
    <w:rsid w:val="00C015F2"/>
    <w:rsid w:val="00C01E51"/>
    <w:rsid w:val="00C11F6B"/>
    <w:rsid w:val="00C12AD2"/>
    <w:rsid w:val="00C144A5"/>
    <w:rsid w:val="00C14806"/>
    <w:rsid w:val="00C20792"/>
    <w:rsid w:val="00C23D3B"/>
    <w:rsid w:val="00C31DD2"/>
    <w:rsid w:val="00C329D3"/>
    <w:rsid w:val="00C43E98"/>
    <w:rsid w:val="00C53165"/>
    <w:rsid w:val="00C53362"/>
    <w:rsid w:val="00C60915"/>
    <w:rsid w:val="00C65941"/>
    <w:rsid w:val="00C67BA2"/>
    <w:rsid w:val="00C70C51"/>
    <w:rsid w:val="00C80547"/>
    <w:rsid w:val="00C86B00"/>
    <w:rsid w:val="00C91519"/>
    <w:rsid w:val="00C96127"/>
    <w:rsid w:val="00CA31ED"/>
    <w:rsid w:val="00CA6F3E"/>
    <w:rsid w:val="00CB1260"/>
    <w:rsid w:val="00CC2728"/>
    <w:rsid w:val="00CD4653"/>
    <w:rsid w:val="00CD5278"/>
    <w:rsid w:val="00CD74F6"/>
    <w:rsid w:val="00CF31D2"/>
    <w:rsid w:val="00CF423C"/>
    <w:rsid w:val="00CF6A62"/>
    <w:rsid w:val="00CF7C45"/>
    <w:rsid w:val="00D00560"/>
    <w:rsid w:val="00D0738D"/>
    <w:rsid w:val="00D11487"/>
    <w:rsid w:val="00D11939"/>
    <w:rsid w:val="00D23C7B"/>
    <w:rsid w:val="00D25A0A"/>
    <w:rsid w:val="00D342CA"/>
    <w:rsid w:val="00D347F3"/>
    <w:rsid w:val="00D46FE9"/>
    <w:rsid w:val="00D51096"/>
    <w:rsid w:val="00D63AE5"/>
    <w:rsid w:val="00D64A4A"/>
    <w:rsid w:val="00D674AC"/>
    <w:rsid w:val="00D7266B"/>
    <w:rsid w:val="00D77EC5"/>
    <w:rsid w:val="00D841D8"/>
    <w:rsid w:val="00D90AEA"/>
    <w:rsid w:val="00DA5CA4"/>
    <w:rsid w:val="00DB3A2B"/>
    <w:rsid w:val="00DB54F7"/>
    <w:rsid w:val="00DC0824"/>
    <w:rsid w:val="00DC3034"/>
    <w:rsid w:val="00DC43AC"/>
    <w:rsid w:val="00DC5BAB"/>
    <w:rsid w:val="00DC5FE1"/>
    <w:rsid w:val="00DC7F29"/>
    <w:rsid w:val="00DD0336"/>
    <w:rsid w:val="00DD40D5"/>
    <w:rsid w:val="00DE1076"/>
    <w:rsid w:val="00DF1000"/>
    <w:rsid w:val="00E007FE"/>
    <w:rsid w:val="00E13954"/>
    <w:rsid w:val="00E14321"/>
    <w:rsid w:val="00E17FA3"/>
    <w:rsid w:val="00E21B81"/>
    <w:rsid w:val="00E2214A"/>
    <w:rsid w:val="00E27999"/>
    <w:rsid w:val="00E30E2D"/>
    <w:rsid w:val="00E371CF"/>
    <w:rsid w:val="00E41FCF"/>
    <w:rsid w:val="00E44508"/>
    <w:rsid w:val="00E451E5"/>
    <w:rsid w:val="00E46050"/>
    <w:rsid w:val="00E62A9E"/>
    <w:rsid w:val="00E654E9"/>
    <w:rsid w:val="00E66632"/>
    <w:rsid w:val="00E66912"/>
    <w:rsid w:val="00E67B76"/>
    <w:rsid w:val="00E72288"/>
    <w:rsid w:val="00E75AA7"/>
    <w:rsid w:val="00E75D7F"/>
    <w:rsid w:val="00E7679C"/>
    <w:rsid w:val="00E8232D"/>
    <w:rsid w:val="00E82904"/>
    <w:rsid w:val="00E85A66"/>
    <w:rsid w:val="00E94C28"/>
    <w:rsid w:val="00E96B18"/>
    <w:rsid w:val="00EA5379"/>
    <w:rsid w:val="00EA7349"/>
    <w:rsid w:val="00EB1AF6"/>
    <w:rsid w:val="00EB2DAE"/>
    <w:rsid w:val="00EB2E3B"/>
    <w:rsid w:val="00EB4EC0"/>
    <w:rsid w:val="00EC4B95"/>
    <w:rsid w:val="00EE05A3"/>
    <w:rsid w:val="00EE4A19"/>
    <w:rsid w:val="00EF4FB3"/>
    <w:rsid w:val="00F008E4"/>
    <w:rsid w:val="00F02784"/>
    <w:rsid w:val="00F07ED9"/>
    <w:rsid w:val="00F12F9B"/>
    <w:rsid w:val="00F147E8"/>
    <w:rsid w:val="00F31B63"/>
    <w:rsid w:val="00F332FB"/>
    <w:rsid w:val="00F36033"/>
    <w:rsid w:val="00F43AF4"/>
    <w:rsid w:val="00F54ED9"/>
    <w:rsid w:val="00F55D75"/>
    <w:rsid w:val="00F831E2"/>
    <w:rsid w:val="00F904F7"/>
    <w:rsid w:val="00F929E3"/>
    <w:rsid w:val="00FA3FC7"/>
    <w:rsid w:val="00FC57B9"/>
    <w:rsid w:val="00FC7C96"/>
    <w:rsid w:val="00FD09DF"/>
    <w:rsid w:val="00FD161C"/>
    <w:rsid w:val="00FD631B"/>
    <w:rsid w:val="00FD6A89"/>
    <w:rsid w:val="00FE07A8"/>
    <w:rsid w:val="00FF5654"/>
    <w:rsid w:val="00FF5946"/>
    <w:rsid w:val="00FF74CF"/>
    <w:rsid w:val="06D44827"/>
    <w:rsid w:val="07004117"/>
    <w:rsid w:val="186B7778"/>
    <w:rsid w:val="205150D8"/>
    <w:rsid w:val="26B31FA5"/>
    <w:rsid w:val="271F69C2"/>
    <w:rsid w:val="455E5C41"/>
    <w:rsid w:val="4A13015C"/>
    <w:rsid w:val="4B726781"/>
    <w:rsid w:val="611D0AE5"/>
    <w:rsid w:val="658A2DD6"/>
    <w:rsid w:val="6B031AD6"/>
    <w:rsid w:val="73825E18"/>
    <w:rsid w:val="7C806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character" w:styleId="9">
    <w:name w:val="annotation reference"/>
    <w:basedOn w:val="8"/>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批注文字 Char"/>
    <w:basedOn w:val="8"/>
    <w:link w:val="2"/>
    <w:qFormat/>
    <w:uiPriority w:val="99"/>
  </w:style>
  <w:style w:type="character" w:customStyle="1" w:styleId="14">
    <w:name w:val="批注框文本 Char"/>
    <w:basedOn w:val="8"/>
    <w:link w:val="3"/>
    <w:semiHidden/>
    <w:qFormat/>
    <w:uiPriority w:val="99"/>
    <w:rPr>
      <w:sz w:val="18"/>
      <w:szCs w:val="18"/>
    </w:rPr>
  </w:style>
  <w:style w:type="character" w:customStyle="1" w:styleId="15">
    <w:name w:val="批注主题 Char"/>
    <w:basedOn w:val="13"/>
    <w:link w:val="6"/>
    <w:semiHidden/>
    <w:qFormat/>
    <w:uiPriority w:val="99"/>
    <w:rPr>
      <w:b/>
      <w:bCs/>
    </w:rPr>
  </w:style>
  <w:style w:type="paragraph" w:customStyle="1" w:styleId="16">
    <w:name w:val="Table Paragraph"/>
    <w:basedOn w:val="1"/>
    <w:qFormat/>
    <w:uiPriority w:val="1"/>
    <w:pPr>
      <w:jc w:val="left"/>
    </w:pPr>
    <w:rPr>
      <w:rFonts w:ascii="Calibri" w:hAnsi="Calibri" w:eastAsia="宋体" w:cs="Times New Roman"/>
      <w:kern w:val="0"/>
      <w:sz w:val="22"/>
    </w:rPr>
  </w:style>
  <w:style w:type="paragraph" w:customStyle="1" w:styleId="17">
    <w:name w:val="列出段落1"/>
    <w:basedOn w:val="1"/>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BE9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B43AA-9391-48DF-B69D-EE63D80FBB3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1024</Words>
  <Characters>1041</Characters>
  <Lines>8</Lines>
  <Paragraphs>2</Paragraphs>
  <TotalTime>13</TotalTime>
  <ScaleCrop>false</ScaleCrop>
  <LinksUpToDate>false</LinksUpToDate>
  <CharactersWithSpaces>1048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2021-12-29T06:11:00Z</dcterms:created>
  <dc:creator>Lenovo</dc:creator>
  <cp:lastModifiedBy>shelly</cp:lastModifiedBy>
  <dcterms:modified xsi:type="dcterms:W3CDTF">2025-05-19T09:21:51Z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DBA78DCED9194C12899949C7EF45B484</vt:lpwstr>
  </property>
  <property fmtid="{D5CDD505-2E9C-101B-9397-08002B2CF9AE}" pid="4" name="KSOTemplateDocerSaveRecord">
    <vt:lpwstr>eyJoZGlkIjoiYjA5MzZmYmVmMmJjZTUzMzUwMzMyOGVmYmVjMDM2ZGUifQ==</vt:lpwstr>
  </property>
</Properties>
</file>