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1160" w:lineRule="exact"/>
        <w:jc w:val="center"/>
        <w:rPr>
          <w:rFonts w:ascii="仿宋_GB2312" w:hAnsi="仿宋_GB2312" w:eastAsia="仿宋_GB2312" w:cs="仿宋_GB2312"/>
          <w:b/>
          <w:color w:val="000000"/>
          <w:sz w:val="96"/>
          <w:szCs w:val="96"/>
        </w:rPr>
      </w:pPr>
      <w:bookmarkStart w:id="0" w:name="_Toc1626"/>
      <w:bookmarkStart w:id="1" w:name="_Toc12789052"/>
      <w:bookmarkStart w:id="2" w:name="_Toc11641050"/>
    </w:p>
    <w:p>
      <w:pPr>
        <w:spacing w:line="1160" w:lineRule="exact"/>
        <w:jc w:val="center"/>
        <w:rPr>
          <w:rFonts w:ascii="仿宋_GB2312" w:hAnsi="仿宋_GB2312" w:eastAsia="仿宋_GB2312" w:cs="仿宋_GB2312"/>
          <w:b/>
          <w:color w:val="000000"/>
          <w:sz w:val="96"/>
          <w:szCs w:val="96"/>
        </w:rPr>
      </w:pPr>
    </w:p>
    <w:p>
      <w:pPr>
        <w:spacing w:line="1160" w:lineRule="exact"/>
        <w:jc w:val="center"/>
        <w:rPr>
          <w:rFonts w:ascii="仿宋_GB2312" w:hAnsi="仿宋_GB2312" w:eastAsia="仿宋_GB2312" w:cs="仿宋_GB2312"/>
          <w:b/>
          <w:color w:val="000000"/>
          <w:sz w:val="96"/>
          <w:szCs w:val="96"/>
        </w:rPr>
      </w:pPr>
      <w:r>
        <w:rPr>
          <w:rFonts w:hint="eastAsia" w:ascii="仿宋_GB2312" w:hAnsi="仿宋_GB2312" w:eastAsia="仿宋_GB2312" w:cs="仿宋_GB2312"/>
          <w:b/>
          <w:color w:val="000000"/>
          <w:sz w:val="96"/>
          <w:szCs w:val="96"/>
        </w:rPr>
        <w:t>竞争性磋商文件</w:t>
      </w:r>
    </w:p>
    <w:p>
      <w:pPr>
        <w:spacing w:line="700" w:lineRule="exact"/>
        <w:jc w:val="center"/>
        <w:rPr>
          <w:rFonts w:ascii="仿宋_GB2312" w:hAnsi="仿宋_GB2312" w:eastAsia="仿宋_GB2312" w:cs="仿宋_GB2312"/>
          <w:color w:val="000000"/>
          <w:sz w:val="32"/>
        </w:rPr>
      </w:pPr>
    </w:p>
    <w:p>
      <w:pPr>
        <w:spacing w:line="700" w:lineRule="exact"/>
        <w:jc w:val="center"/>
        <w:rPr>
          <w:rFonts w:ascii="仿宋_GB2312" w:hAnsi="仿宋_GB2312" w:eastAsia="仿宋_GB2312" w:cs="仿宋_GB2312"/>
          <w:color w:val="000000"/>
          <w:sz w:val="32"/>
        </w:rPr>
      </w:pPr>
    </w:p>
    <w:p>
      <w:pPr>
        <w:spacing w:line="700" w:lineRule="exact"/>
        <w:jc w:val="center"/>
        <w:rPr>
          <w:rFonts w:ascii="仿宋_GB2312" w:hAnsi="仿宋_GB2312" w:eastAsia="仿宋_GB2312" w:cs="仿宋_GB2312"/>
          <w:color w:val="000000"/>
          <w:sz w:val="32"/>
        </w:rPr>
      </w:pPr>
    </w:p>
    <w:p>
      <w:pPr>
        <w:spacing w:line="700" w:lineRule="exact"/>
        <w:jc w:val="center"/>
        <w:rPr>
          <w:rFonts w:ascii="仿宋_GB2312" w:hAnsi="仿宋_GB2312" w:eastAsia="仿宋_GB2312" w:cs="仿宋_GB2312"/>
          <w:color w:val="000000"/>
          <w:sz w:val="32"/>
        </w:rPr>
      </w:pPr>
    </w:p>
    <w:p>
      <w:pPr>
        <w:spacing w:line="700" w:lineRule="exact"/>
        <w:jc w:val="center"/>
        <w:rPr>
          <w:rFonts w:ascii="仿宋_GB2312" w:hAnsi="仿宋_GB2312" w:eastAsia="仿宋_GB2312" w:cs="仿宋_GB2312"/>
          <w:color w:val="000000"/>
          <w:sz w:val="32"/>
        </w:rPr>
      </w:pPr>
    </w:p>
    <w:p>
      <w:pPr>
        <w:spacing w:line="7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采购计划编号：</w:t>
      </w:r>
    </w:p>
    <w:p>
      <w:pPr>
        <w:spacing w:line="70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项 目 名 称 ：重庆市</w:t>
      </w:r>
      <w:r>
        <w:rPr>
          <w:rFonts w:hint="eastAsia" w:ascii="仿宋_GB2312" w:hAnsi="仿宋_GB2312" w:eastAsia="仿宋_GB2312" w:cs="仿宋_GB2312"/>
          <w:color w:val="000000"/>
          <w:sz w:val="32"/>
          <w:szCs w:val="32"/>
          <w:lang w:eastAsia="zh-CN"/>
        </w:rPr>
        <w:t>药监局</w:t>
      </w:r>
      <w:r>
        <w:rPr>
          <w:rFonts w:hint="eastAsia" w:ascii="仿宋_GB2312" w:hAnsi="仿宋_GB2312" w:eastAsia="仿宋_GB2312" w:cs="仿宋_GB2312"/>
          <w:color w:val="000000"/>
          <w:sz w:val="32"/>
          <w:szCs w:val="32"/>
        </w:rPr>
        <w:t>法律顾问合同</w:t>
      </w:r>
    </w:p>
    <w:p>
      <w:pPr>
        <w:spacing w:line="700" w:lineRule="exact"/>
        <w:ind w:firstLine="1749" w:firstLineChars="486"/>
        <w:rPr>
          <w:rFonts w:ascii="仿宋_GB2312" w:hAnsi="仿宋_GB2312" w:eastAsia="仿宋_GB2312" w:cs="仿宋_GB2312"/>
          <w:color w:val="000000"/>
          <w:sz w:val="36"/>
          <w:szCs w:val="30"/>
        </w:rPr>
      </w:pPr>
    </w:p>
    <w:p>
      <w:pPr>
        <w:spacing w:line="700" w:lineRule="exact"/>
        <w:jc w:val="center"/>
        <w:rPr>
          <w:rFonts w:ascii="仿宋_GB2312" w:hAnsi="仿宋_GB2312" w:eastAsia="仿宋_GB2312" w:cs="仿宋_GB2312"/>
          <w:b/>
          <w:color w:val="000000"/>
          <w:sz w:val="30"/>
          <w:szCs w:val="30"/>
        </w:rPr>
      </w:pPr>
    </w:p>
    <w:p>
      <w:pPr>
        <w:spacing w:line="700" w:lineRule="exact"/>
        <w:jc w:val="center"/>
        <w:rPr>
          <w:rFonts w:ascii="仿宋_GB2312" w:hAnsi="仿宋_GB2312" w:eastAsia="仿宋_GB2312" w:cs="仿宋_GB2312"/>
          <w:b/>
          <w:color w:val="000000"/>
          <w:sz w:val="30"/>
          <w:szCs w:val="30"/>
        </w:rPr>
      </w:pPr>
    </w:p>
    <w:p>
      <w:pPr>
        <w:spacing w:line="700" w:lineRule="exact"/>
        <w:jc w:val="center"/>
        <w:rPr>
          <w:rFonts w:ascii="仿宋_GB2312" w:hAnsi="仿宋_GB2312" w:eastAsia="仿宋_GB2312" w:cs="仿宋_GB2312"/>
          <w:b/>
          <w:color w:val="000000"/>
          <w:sz w:val="30"/>
          <w:szCs w:val="30"/>
        </w:rPr>
      </w:pPr>
    </w:p>
    <w:p>
      <w:pPr>
        <w:spacing w:line="700" w:lineRule="exact"/>
        <w:jc w:val="center"/>
        <w:rPr>
          <w:rFonts w:ascii="仿宋_GB2312" w:hAnsi="仿宋_GB2312" w:eastAsia="仿宋_GB2312" w:cs="仿宋_GB2312"/>
          <w:b/>
          <w:color w:val="000000"/>
          <w:sz w:val="30"/>
          <w:szCs w:val="30"/>
        </w:rPr>
      </w:pPr>
    </w:p>
    <w:p>
      <w:pPr>
        <w:spacing w:line="700" w:lineRule="exact"/>
        <w:jc w:val="center"/>
        <w:rPr>
          <w:rFonts w:ascii="仿宋_GB2312" w:hAnsi="仿宋_GB2312" w:eastAsia="仿宋_GB2312" w:cs="仿宋_GB2312"/>
          <w:b/>
          <w:color w:val="000000"/>
          <w:sz w:val="30"/>
          <w:szCs w:val="30"/>
        </w:rPr>
      </w:pPr>
    </w:p>
    <w:p>
      <w:pPr>
        <w:spacing w:line="70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采  购  人：重庆市</w:t>
      </w:r>
      <w:r>
        <w:rPr>
          <w:rFonts w:hint="eastAsia" w:ascii="仿宋_GB2312" w:hAnsi="仿宋_GB2312" w:eastAsia="仿宋_GB2312" w:cs="仿宋_GB2312"/>
          <w:color w:val="000000"/>
          <w:sz w:val="32"/>
          <w:szCs w:val="32"/>
          <w:lang w:eastAsia="zh-CN"/>
        </w:rPr>
        <w:t>药监</w:t>
      </w:r>
      <w:r>
        <w:rPr>
          <w:rFonts w:hint="eastAsia" w:ascii="仿宋_GB2312" w:hAnsi="仿宋_GB2312" w:eastAsia="仿宋_GB2312" w:cs="仿宋_GB2312"/>
          <w:color w:val="000000"/>
          <w:sz w:val="32"/>
          <w:szCs w:val="32"/>
        </w:rPr>
        <w:t>局</w:t>
      </w:r>
    </w:p>
    <w:p>
      <w:pPr>
        <w:spacing w:line="7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二〇一</w:t>
      </w: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月</w:t>
      </w:r>
    </w:p>
    <w:p>
      <w:pPr>
        <w:pStyle w:val="31"/>
        <w:tabs>
          <w:tab w:val="right" w:leader="dot" w:pos="9526"/>
        </w:tabs>
        <w:ind w:left="0" w:leftChars="0"/>
        <w:jc w:val="center"/>
        <w:rPr>
          <w:rFonts w:ascii="仿宋_GB2312" w:hAnsi="仿宋_GB2312" w:eastAsia="仿宋_GB2312" w:cs="仿宋_GB2312"/>
          <w:b/>
          <w:bCs/>
          <w:color w:val="000000"/>
          <w:szCs w:val="28"/>
        </w:rPr>
      </w:pPr>
    </w:p>
    <w:p>
      <w:pPr>
        <w:pStyle w:val="48"/>
        <w:tabs>
          <w:tab w:val="right" w:leader="dot" w:pos="9071"/>
        </w:tabs>
      </w:pPr>
      <w:r>
        <w:rPr>
          <w:color w:val="000000"/>
        </w:rPr>
        <w:fldChar w:fldCharType="begin"/>
      </w:r>
      <w:r>
        <w:rPr>
          <w:color w:val="000000"/>
        </w:rPr>
        <w:instrText xml:space="preserve"> TOC \o "1-2" \h \z \u </w:instrText>
      </w:r>
      <w:r>
        <w:rPr>
          <w:color w:val="000000"/>
        </w:rPr>
        <w:fldChar w:fldCharType="separate"/>
      </w:r>
      <w:r>
        <w:rPr>
          <w:color w:val="000000"/>
        </w:rPr>
        <w:fldChar w:fldCharType="begin"/>
      </w:r>
      <w:r>
        <w:instrText xml:space="preserve"> HYPERLINK \l _Toc27831 </w:instrText>
      </w:r>
      <w:r>
        <w:fldChar w:fldCharType="separate"/>
      </w:r>
      <w:r>
        <w:rPr>
          <w:rFonts w:hint="eastAsia"/>
        </w:rPr>
        <w:t>第一篇  采购邀请书</w:t>
      </w:r>
      <w:r>
        <w:tab/>
      </w:r>
      <w:r>
        <w:fldChar w:fldCharType="begin"/>
      </w:r>
      <w:r>
        <w:instrText xml:space="preserve"> PAGEREF _Toc27831 </w:instrText>
      </w:r>
      <w:r>
        <w:fldChar w:fldCharType="separate"/>
      </w:r>
      <w:r>
        <w:t>- 1 -</w:t>
      </w:r>
      <w:r>
        <w:fldChar w:fldCharType="end"/>
      </w:r>
      <w:r>
        <w:rPr>
          <w:color w:val="000000"/>
        </w:rPr>
        <w:fldChar w:fldCharType="end"/>
      </w:r>
    </w:p>
    <w:p>
      <w:pPr>
        <w:pStyle w:val="48"/>
        <w:tabs>
          <w:tab w:val="right" w:leader="dot" w:pos="9071"/>
        </w:tabs>
      </w:pPr>
      <w:r>
        <w:rPr>
          <w:color w:val="000000"/>
        </w:rPr>
        <w:fldChar w:fldCharType="begin"/>
      </w:r>
      <w:r>
        <w:instrText xml:space="preserve"> HYPERLINK \l _Toc26934 </w:instrText>
      </w:r>
      <w:r>
        <w:fldChar w:fldCharType="separate"/>
      </w:r>
      <w:r>
        <w:rPr>
          <w:rFonts w:hint="eastAsia"/>
        </w:rPr>
        <w:t>第二篇  采购技术需求</w:t>
      </w:r>
      <w:r>
        <w:tab/>
      </w:r>
      <w:r>
        <w:fldChar w:fldCharType="begin"/>
      </w:r>
      <w:r>
        <w:instrText xml:space="preserve"> PAGEREF _Toc26934 </w:instrText>
      </w:r>
      <w:r>
        <w:fldChar w:fldCharType="separate"/>
      </w:r>
      <w:r>
        <w:t>- 4 -</w:t>
      </w:r>
      <w:r>
        <w:fldChar w:fldCharType="end"/>
      </w:r>
      <w:r>
        <w:rPr>
          <w:color w:val="000000"/>
        </w:rPr>
        <w:fldChar w:fldCharType="end"/>
      </w:r>
    </w:p>
    <w:p>
      <w:pPr>
        <w:pStyle w:val="48"/>
        <w:tabs>
          <w:tab w:val="right" w:leader="dot" w:pos="9071"/>
        </w:tabs>
      </w:pPr>
      <w:r>
        <w:rPr>
          <w:color w:val="000000"/>
        </w:rPr>
        <w:fldChar w:fldCharType="begin"/>
      </w:r>
      <w:r>
        <w:instrText xml:space="preserve"> HYPERLINK \l _Toc3589 </w:instrText>
      </w:r>
      <w:r>
        <w:fldChar w:fldCharType="separate"/>
      </w:r>
      <w:r>
        <w:rPr>
          <w:rFonts w:hint="eastAsia"/>
        </w:rPr>
        <w:t>第三篇  采购商务需求</w:t>
      </w:r>
      <w:r>
        <w:tab/>
      </w:r>
      <w:r>
        <w:fldChar w:fldCharType="begin"/>
      </w:r>
      <w:r>
        <w:instrText xml:space="preserve"> PAGEREF _Toc3589 </w:instrText>
      </w:r>
      <w:r>
        <w:fldChar w:fldCharType="separate"/>
      </w:r>
      <w:r>
        <w:t>- 5 -</w:t>
      </w:r>
      <w:r>
        <w:fldChar w:fldCharType="end"/>
      </w:r>
      <w:r>
        <w:rPr>
          <w:color w:val="000000"/>
        </w:rPr>
        <w:fldChar w:fldCharType="end"/>
      </w:r>
    </w:p>
    <w:p>
      <w:pPr>
        <w:pStyle w:val="48"/>
        <w:tabs>
          <w:tab w:val="right" w:leader="dot" w:pos="9071"/>
        </w:tabs>
      </w:pPr>
      <w:r>
        <w:rPr>
          <w:color w:val="000000"/>
        </w:rPr>
        <w:fldChar w:fldCharType="begin"/>
      </w:r>
      <w:r>
        <w:instrText xml:space="preserve"> HYPERLINK \l _Toc6181 </w:instrText>
      </w:r>
      <w:r>
        <w:fldChar w:fldCharType="separate"/>
      </w:r>
      <w:r>
        <w:rPr>
          <w:rFonts w:hint="eastAsia"/>
        </w:rPr>
        <w:t>第四篇  磋商程序及方法、评审标准、无效响应和采购终止</w:t>
      </w:r>
      <w:r>
        <w:tab/>
      </w:r>
      <w:r>
        <w:fldChar w:fldCharType="begin"/>
      </w:r>
      <w:r>
        <w:instrText xml:space="preserve"> PAGEREF _Toc6181 </w:instrText>
      </w:r>
      <w:r>
        <w:fldChar w:fldCharType="separate"/>
      </w:r>
      <w:r>
        <w:t>- 6 -</w:t>
      </w:r>
      <w:r>
        <w:fldChar w:fldCharType="end"/>
      </w:r>
      <w:r>
        <w:rPr>
          <w:color w:val="000000"/>
        </w:rPr>
        <w:fldChar w:fldCharType="end"/>
      </w:r>
    </w:p>
    <w:p>
      <w:pPr>
        <w:pStyle w:val="48"/>
        <w:tabs>
          <w:tab w:val="right" w:leader="dot" w:pos="9071"/>
        </w:tabs>
      </w:pPr>
      <w:r>
        <w:rPr>
          <w:color w:val="000000"/>
        </w:rPr>
        <w:fldChar w:fldCharType="begin"/>
      </w:r>
      <w:r>
        <w:instrText xml:space="preserve"> HYPERLINK \l _Toc27744 </w:instrText>
      </w:r>
      <w:r>
        <w:fldChar w:fldCharType="separate"/>
      </w:r>
      <w:r>
        <w:rPr>
          <w:rFonts w:hint="eastAsia"/>
        </w:rPr>
        <w:t>第五篇  服务商须知</w:t>
      </w:r>
      <w:r>
        <w:tab/>
      </w:r>
      <w:r>
        <w:fldChar w:fldCharType="begin"/>
      </w:r>
      <w:r>
        <w:instrText xml:space="preserve"> PAGEREF _Toc27744 </w:instrText>
      </w:r>
      <w:r>
        <w:fldChar w:fldCharType="separate"/>
      </w:r>
      <w:r>
        <w:t>- 11 -</w:t>
      </w:r>
      <w:r>
        <w:fldChar w:fldCharType="end"/>
      </w:r>
      <w:r>
        <w:rPr>
          <w:color w:val="000000"/>
        </w:rPr>
        <w:fldChar w:fldCharType="end"/>
      </w:r>
    </w:p>
    <w:p>
      <w:pPr>
        <w:pStyle w:val="48"/>
        <w:tabs>
          <w:tab w:val="right" w:leader="dot" w:pos="9071"/>
        </w:tabs>
      </w:pPr>
      <w:r>
        <w:rPr>
          <w:color w:val="000000"/>
        </w:rPr>
        <w:fldChar w:fldCharType="begin"/>
      </w:r>
      <w:r>
        <w:instrText xml:space="preserve"> HYPERLINK \l _Toc15717 </w:instrText>
      </w:r>
      <w:r>
        <w:fldChar w:fldCharType="separate"/>
      </w:r>
      <w:r>
        <w:rPr>
          <w:rFonts w:hint="eastAsia"/>
        </w:rPr>
        <w:t>第六篇 合同草案条款</w:t>
      </w:r>
      <w:r>
        <w:tab/>
      </w:r>
      <w:r>
        <w:fldChar w:fldCharType="begin"/>
      </w:r>
      <w:r>
        <w:instrText xml:space="preserve"> PAGEREF _Toc15717 </w:instrText>
      </w:r>
      <w:r>
        <w:fldChar w:fldCharType="separate"/>
      </w:r>
      <w:r>
        <w:t>- 15 -</w:t>
      </w:r>
      <w:r>
        <w:fldChar w:fldCharType="end"/>
      </w:r>
      <w:r>
        <w:rPr>
          <w:color w:val="000000"/>
        </w:rPr>
        <w:fldChar w:fldCharType="end"/>
      </w:r>
    </w:p>
    <w:p>
      <w:pPr>
        <w:pStyle w:val="48"/>
        <w:tabs>
          <w:tab w:val="right" w:leader="dot" w:pos="9071"/>
        </w:tabs>
      </w:pPr>
      <w:r>
        <w:rPr>
          <w:color w:val="000000"/>
        </w:rPr>
        <w:fldChar w:fldCharType="begin"/>
      </w:r>
      <w:r>
        <w:instrText xml:space="preserve"> HYPERLINK \l _Toc16562 </w:instrText>
      </w:r>
      <w:r>
        <w:fldChar w:fldCharType="separate"/>
      </w:r>
      <w:r>
        <w:rPr>
          <w:rFonts w:hint="eastAsia"/>
        </w:rPr>
        <w:t>第七篇  响应文件编制要求</w:t>
      </w:r>
      <w:r>
        <w:tab/>
      </w:r>
      <w:r>
        <w:fldChar w:fldCharType="begin"/>
      </w:r>
      <w:r>
        <w:instrText xml:space="preserve"> PAGEREF _Toc16562 </w:instrText>
      </w:r>
      <w:r>
        <w:fldChar w:fldCharType="separate"/>
      </w:r>
      <w:r>
        <w:t>- 17 -</w:t>
      </w:r>
      <w:r>
        <w:fldChar w:fldCharType="end"/>
      </w:r>
      <w:r>
        <w:rPr>
          <w:color w:val="000000"/>
        </w:rPr>
        <w:fldChar w:fldCharType="end"/>
      </w:r>
    </w:p>
    <w:p>
      <w:pPr>
        <w:wordWrap/>
        <w:spacing w:line="360" w:lineRule="auto"/>
        <w:textAlignment w:val="auto"/>
        <w:rPr>
          <w:color w:val="000000"/>
        </w:rPr>
      </w:pPr>
      <w:r>
        <w:rPr>
          <w:color w:val="000000"/>
        </w:rPr>
        <w:fldChar w:fldCharType="end"/>
      </w:r>
    </w:p>
    <w:p>
      <w:pPr>
        <w:pStyle w:val="3"/>
        <w:wordWrap/>
        <w:spacing w:line="360" w:lineRule="auto"/>
        <w:jc w:val="both"/>
        <w:textAlignment w:val="auto"/>
        <w:rPr>
          <w:rFonts w:hint="eastAsia"/>
          <w:b/>
          <w:color w:val="000000"/>
        </w:rPr>
        <w:sectPr>
          <w:headerReference r:id="rId4" w:type="default"/>
          <w:pgSz w:w="11907" w:h="16840"/>
          <w:pgMar w:top="1134" w:right="1418" w:bottom="1134" w:left="1418" w:header="964" w:footer="992" w:gutter="0"/>
          <w:pgNumType w:fmt="numberInDash"/>
          <w:cols w:space="720" w:num="1"/>
          <w:docGrid w:linePitch="312" w:charSpace="0"/>
        </w:sectPr>
      </w:pPr>
      <w:bookmarkStart w:id="3" w:name="_Toc4354754"/>
      <w:bookmarkStart w:id="4" w:name="_Toc4352229"/>
    </w:p>
    <w:p>
      <w:pPr>
        <w:pStyle w:val="3"/>
        <w:wordWrap/>
        <w:spacing w:line="360" w:lineRule="auto"/>
        <w:jc w:val="both"/>
        <w:textAlignment w:val="auto"/>
        <w:rPr>
          <w:rFonts w:hint="eastAsia"/>
          <w:b/>
          <w:color w:val="000000"/>
        </w:rPr>
      </w:pPr>
      <w:bookmarkStart w:id="5" w:name="_Toc27831"/>
      <w:r>
        <w:rPr>
          <w:rFonts w:hint="eastAsia"/>
          <w:b/>
          <w:color w:val="000000"/>
        </w:rPr>
        <w:t>第一篇  采购邀请书</w:t>
      </w:r>
      <w:bookmarkEnd w:id="0"/>
      <w:bookmarkEnd w:id="1"/>
      <w:bookmarkEnd w:id="2"/>
      <w:bookmarkEnd w:id="3"/>
      <w:bookmarkEnd w:id="4"/>
      <w:bookmarkEnd w:id="5"/>
    </w:p>
    <w:p>
      <w:pPr>
        <w:wordWrap/>
        <w:adjustRightInd/>
        <w:snapToGrid/>
        <w:spacing w:line="360" w:lineRule="auto"/>
        <w:ind w:firstLine="360" w:firstLineChars="15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重庆市药品监督管理局（以下简称“重庆市</w:t>
      </w:r>
      <w:r>
        <w:rPr>
          <w:rFonts w:hint="eastAsia" w:ascii="方正仿宋_GBK" w:hAnsi="方正仿宋_GBK" w:eastAsia="方正仿宋_GBK" w:cs="方正仿宋_GBK"/>
          <w:color w:val="000000"/>
          <w:sz w:val="24"/>
          <w:szCs w:val="24"/>
          <w:lang w:val="en-US" w:eastAsia="zh-CN"/>
        </w:rPr>
        <w:t>药监</w:t>
      </w:r>
      <w:r>
        <w:rPr>
          <w:rFonts w:hint="eastAsia" w:ascii="方正仿宋_GBK" w:hAnsi="方正仿宋_GBK" w:eastAsia="方正仿宋_GBK" w:cs="方正仿宋_GBK"/>
          <w:color w:val="000000"/>
          <w:sz w:val="24"/>
          <w:szCs w:val="24"/>
        </w:rPr>
        <w:t>局”、“我局”、“采购人”）为了维护自身合法权益，有效防范在日常业务、事务中涉及的法律风险、合规风险等，对“2019-2010重庆市药品监督管理局常年法律顾问”项目进行竞争性磋商采购，欢迎有资格的律师事务所（以下称“服务商”）前来参与磋商。</w:t>
      </w:r>
    </w:p>
    <w:p>
      <w:pPr>
        <w:pStyle w:val="4"/>
        <w:wordWrap/>
        <w:adjustRightInd/>
        <w:snapToGrid/>
        <w:spacing w:line="360" w:lineRule="auto"/>
        <w:textAlignment w:val="auto"/>
        <w:rPr>
          <w:rFonts w:hint="eastAsia" w:ascii="方正仿宋_GBK" w:hAnsi="方正仿宋_GBK" w:eastAsia="方正仿宋_GBK" w:cs="方正仿宋_GBK"/>
          <w:color w:val="000000"/>
          <w:sz w:val="24"/>
          <w:szCs w:val="24"/>
        </w:rPr>
      </w:pPr>
      <w:bookmarkStart w:id="6" w:name="_Toc22247"/>
      <w:bookmarkStart w:id="7" w:name="_Toc317775175"/>
      <w:bookmarkStart w:id="8" w:name="_Toc313893526"/>
      <w:r>
        <w:rPr>
          <w:rFonts w:hint="eastAsia" w:ascii="方正仿宋_GBK" w:hAnsi="方正仿宋_GBK" w:eastAsia="方正仿宋_GBK" w:cs="方正仿宋_GBK"/>
          <w:color w:val="000000"/>
          <w:sz w:val="24"/>
          <w:szCs w:val="24"/>
        </w:rPr>
        <w:t>一、竞争性磋商内容</w:t>
      </w:r>
      <w:bookmarkEnd w:id="6"/>
      <w:bookmarkEnd w:id="7"/>
      <w:bookmarkEnd w:id="8"/>
    </w:p>
    <w:tbl>
      <w:tblPr>
        <w:tblStyle w:val="65"/>
        <w:tblW w:w="7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970"/>
        <w:gridCol w:w="1827"/>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188" w:type="dxa"/>
            <w:tcBorders>
              <w:top w:val="single" w:color="auto" w:sz="4" w:space="0"/>
              <w:left w:val="single" w:color="auto" w:sz="4" w:space="0"/>
              <w:right w:val="single" w:color="auto" w:sz="4" w:space="0"/>
            </w:tcBorders>
            <w:vAlign w:val="center"/>
          </w:tcPr>
          <w:p>
            <w:pPr>
              <w:widowControl/>
              <w:wordWrap/>
              <w:adjustRightInd/>
              <w:snapToGrid/>
              <w:spacing w:line="360" w:lineRule="auto"/>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2970" w:type="dxa"/>
            <w:tcBorders>
              <w:top w:val="single" w:color="auto" w:sz="4" w:space="0"/>
              <w:left w:val="single" w:color="auto" w:sz="4" w:space="0"/>
              <w:right w:val="single" w:color="auto" w:sz="4" w:space="0"/>
            </w:tcBorders>
            <w:vAlign w:val="center"/>
          </w:tcPr>
          <w:p>
            <w:pPr>
              <w:widowControl/>
              <w:wordWrap/>
              <w:adjustRightInd/>
              <w:snapToGrid/>
              <w:spacing w:line="360" w:lineRule="auto"/>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项目名称</w:t>
            </w:r>
          </w:p>
        </w:tc>
        <w:tc>
          <w:tcPr>
            <w:tcW w:w="1827" w:type="dxa"/>
            <w:tcBorders>
              <w:top w:val="single" w:color="auto" w:sz="4" w:space="0"/>
              <w:left w:val="single" w:color="auto" w:sz="4" w:space="0"/>
              <w:right w:val="single" w:color="auto" w:sz="4" w:space="0"/>
            </w:tcBorders>
            <w:vAlign w:val="center"/>
          </w:tcPr>
          <w:p>
            <w:pPr>
              <w:widowControl/>
              <w:wordWrap/>
              <w:adjustRightInd/>
              <w:snapToGrid/>
              <w:spacing w:line="360" w:lineRule="auto"/>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采购预算及最高限价</w:t>
            </w:r>
          </w:p>
          <w:p>
            <w:pPr>
              <w:wordWrap/>
              <w:adjustRightInd/>
              <w:snapToGrid/>
              <w:spacing w:line="360" w:lineRule="auto"/>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（万元）</w:t>
            </w:r>
          </w:p>
        </w:tc>
        <w:tc>
          <w:tcPr>
            <w:tcW w:w="1446" w:type="dxa"/>
            <w:tcBorders>
              <w:top w:val="single" w:color="auto" w:sz="4" w:space="0"/>
              <w:left w:val="single" w:color="auto" w:sz="4" w:space="0"/>
              <w:right w:val="single" w:color="auto" w:sz="4" w:space="0"/>
            </w:tcBorders>
            <w:vAlign w:val="center"/>
          </w:tcPr>
          <w:p>
            <w:pPr>
              <w:wordWrap/>
              <w:adjustRightInd/>
              <w:snapToGrid/>
              <w:spacing w:line="360" w:lineRule="auto"/>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bCs/>
                <w:color w:val="000000"/>
                <w:kern w:val="0"/>
                <w:sz w:val="24"/>
                <w:szCs w:val="24"/>
              </w:rPr>
              <w:t>成交数量</w:t>
            </w:r>
          </w:p>
          <w:p>
            <w:pPr>
              <w:wordWrap/>
              <w:adjustRightInd/>
              <w:snapToGrid/>
              <w:spacing w:line="360" w:lineRule="auto"/>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188" w:type="dxa"/>
            <w:tcBorders>
              <w:top w:val="single" w:color="auto" w:sz="4" w:space="0"/>
              <w:left w:val="single" w:color="auto" w:sz="4" w:space="0"/>
              <w:right w:val="single" w:color="auto" w:sz="4" w:space="0"/>
            </w:tcBorders>
            <w:vAlign w:val="center"/>
          </w:tcPr>
          <w:p>
            <w:pPr>
              <w:widowControl/>
              <w:wordWrap/>
              <w:adjustRightInd/>
              <w:snapToGrid/>
              <w:spacing w:line="360" w:lineRule="auto"/>
              <w:jc w:val="center"/>
              <w:textAlignment w:val="auto"/>
              <w:rPr>
                <w:rFonts w:hint="eastAsia" w:ascii="方正仿宋_GBK" w:hAnsi="方正仿宋_GBK" w:eastAsia="方正仿宋_GBK" w:cs="方正仿宋_GBK"/>
                <w:color w:val="000000"/>
                <w:kern w:val="0"/>
                <w:sz w:val="24"/>
                <w:szCs w:val="24"/>
              </w:rPr>
            </w:pPr>
            <w:bookmarkStart w:id="9" w:name="_Hlk344477914"/>
            <w:r>
              <w:rPr>
                <w:rFonts w:hint="eastAsia" w:ascii="方正仿宋_GBK" w:hAnsi="方正仿宋_GBK" w:eastAsia="方正仿宋_GBK" w:cs="方正仿宋_GBK"/>
                <w:color w:val="000000"/>
                <w:kern w:val="0"/>
                <w:sz w:val="24"/>
                <w:szCs w:val="24"/>
              </w:rPr>
              <w:t>1</w:t>
            </w:r>
          </w:p>
        </w:tc>
        <w:tc>
          <w:tcPr>
            <w:tcW w:w="2970" w:type="dxa"/>
            <w:tcBorders>
              <w:top w:val="single" w:color="auto" w:sz="4" w:space="0"/>
              <w:left w:val="single" w:color="auto" w:sz="4" w:space="0"/>
              <w:right w:val="single" w:color="auto" w:sz="4" w:space="0"/>
            </w:tcBorders>
            <w:vAlign w:val="center"/>
          </w:tcPr>
          <w:p>
            <w:pPr>
              <w:widowControl/>
              <w:wordWrap/>
              <w:adjustRightInd/>
              <w:snapToGrid/>
              <w:spacing w:line="360" w:lineRule="auto"/>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2019-2010重庆市药品监督管理局常年法律顾问</w:t>
            </w:r>
          </w:p>
        </w:tc>
        <w:tc>
          <w:tcPr>
            <w:tcW w:w="1827" w:type="dxa"/>
            <w:tcBorders>
              <w:top w:val="single" w:color="auto" w:sz="4" w:space="0"/>
              <w:left w:val="single" w:color="auto" w:sz="4" w:space="0"/>
              <w:right w:val="single" w:color="auto" w:sz="4" w:space="0"/>
            </w:tcBorders>
            <w:vAlign w:val="center"/>
          </w:tcPr>
          <w:p>
            <w:pPr>
              <w:widowControl/>
              <w:wordWrap/>
              <w:adjustRightInd/>
              <w:snapToGrid/>
              <w:spacing w:line="360" w:lineRule="auto"/>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val="en-US" w:eastAsia="zh-CN"/>
              </w:rPr>
              <w:t>6</w:t>
            </w:r>
          </w:p>
        </w:tc>
        <w:tc>
          <w:tcPr>
            <w:tcW w:w="1446" w:type="dxa"/>
            <w:tcBorders>
              <w:top w:val="single" w:color="auto" w:sz="4" w:space="0"/>
              <w:left w:val="single" w:color="auto" w:sz="4" w:space="0"/>
              <w:right w:val="single" w:color="auto" w:sz="4" w:space="0"/>
            </w:tcBorders>
            <w:vAlign w:val="center"/>
          </w:tcPr>
          <w:p>
            <w:pPr>
              <w:widowControl/>
              <w:wordWrap/>
              <w:adjustRightInd/>
              <w:snapToGrid/>
              <w:spacing w:line="360" w:lineRule="auto"/>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r>
      <w:bookmarkEnd w:id="9"/>
    </w:tbl>
    <w:p>
      <w:pPr>
        <w:pStyle w:val="4"/>
        <w:wordWrap/>
        <w:adjustRightInd/>
        <w:snapToGrid/>
        <w:spacing w:line="360" w:lineRule="auto"/>
        <w:textAlignment w:val="auto"/>
        <w:rPr>
          <w:rFonts w:hint="eastAsia" w:ascii="方正仿宋_GBK" w:hAnsi="方正仿宋_GBK" w:eastAsia="方正仿宋_GBK" w:cs="方正仿宋_GBK"/>
          <w:color w:val="000000"/>
          <w:sz w:val="24"/>
          <w:szCs w:val="24"/>
        </w:rPr>
      </w:pPr>
      <w:bookmarkStart w:id="10" w:name="_Toc22648"/>
      <w:bookmarkStart w:id="11" w:name="_Toc373860293"/>
      <w:bookmarkStart w:id="12" w:name="_Toc317775178"/>
      <w:r>
        <w:rPr>
          <w:rFonts w:hint="eastAsia" w:ascii="方正仿宋_GBK" w:hAnsi="方正仿宋_GBK" w:eastAsia="方正仿宋_GBK" w:cs="方正仿宋_GBK"/>
          <w:color w:val="000000"/>
          <w:sz w:val="24"/>
          <w:szCs w:val="24"/>
        </w:rPr>
        <w:t>二、资金来源</w:t>
      </w:r>
      <w:bookmarkEnd w:id="10"/>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财政预算资金。</w:t>
      </w:r>
    </w:p>
    <w:p>
      <w:pPr>
        <w:pStyle w:val="4"/>
        <w:wordWrap/>
        <w:adjustRightInd/>
        <w:snapToGrid/>
        <w:spacing w:line="360" w:lineRule="auto"/>
        <w:textAlignment w:val="auto"/>
        <w:rPr>
          <w:rFonts w:hint="eastAsia" w:ascii="方正仿宋_GBK" w:hAnsi="方正仿宋_GBK" w:eastAsia="方正仿宋_GBK" w:cs="方正仿宋_GBK"/>
          <w:color w:val="000000"/>
          <w:sz w:val="24"/>
          <w:szCs w:val="24"/>
        </w:rPr>
      </w:pPr>
      <w:bookmarkStart w:id="13" w:name="_Toc29769"/>
      <w:r>
        <w:rPr>
          <w:rFonts w:hint="eastAsia" w:ascii="方正仿宋_GBK" w:hAnsi="方正仿宋_GBK" w:eastAsia="方正仿宋_GBK" w:cs="方正仿宋_GBK"/>
          <w:color w:val="000000"/>
          <w:sz w:val="24"/>
          <w:szCs w:val="24"/>
        </w:rPr>
        <w:t>三、服务商资格条件</w:t>
      </w:r>
      <w:bookmarkEnd w:id="13"/>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服务商是指向采购人提供服务或者货物的法人、其他组织或者自然人。合格的服务商应首先符合政府采购法第二十二条规定的基本资格条件，同时符合根据该项目特殊要求设置的特定资格条件。</w:t>
      </w:r>
    </w:p>
    <w:p>
      <w:pPr>
        <w:pStyle w:val="5"/>
        <w:wordWrap/>
        <w:adjustRightInd/>
        <w:snapToGrid/>
        <w:spacing w:line="360" w:lineRule="auto"/>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1、具有独立承担民事责任的能力；</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2、具有良好的商业信誉和健全的财务会计制度；</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3、具有履行合同所必需的设备和专业技术能力；</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4、有依法缴纳税收和社会保障资金的良好记录；</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5、参加政府采购活动前三年内，在经营活动中没有重大违法记录；</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6、法律、行政法规规定的其他条件。</w:t>
      </w:r>
    </w:p>
    <w:p>
      <w:pPr>
        <w:pStyle w:val="5"/>
        <w:wordWrap/>
        <w:adjustRightInd/>
        <w:snapToGrid/>
        <w:spacing w:line="360" w:lineRule="auto"/>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（二）特定资格条件</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1.法律顾问单位受聘条件</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（1）经重庆市司法局批准成立的律师事务所且该律师事务所成立5年以上；</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（2）近三年年检称职。</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2.法律顾问单位指派律师的受聘条件</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（1）年满35周岁以上；</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（2）执业5年以上；</w:t>
      </w:r>
    </w:p>
    <w:p>
      <w:pPr>
        <w:pStyle w:val="4"/>
        <w:wordWrap/>
        <w:adjustRightInd/>
        <w:snapToGrid/>
        <w:spacing w:line="360" w:lineRule="auto"/>
        <w:textAlignment w:val="auto"/>
        <w:rPr>
          <w:rFonts w:hint="eastAsia" w:ascii="方正仿宋_GBK" w:hAnsi="方正仿宋_GBK" w:eastAsia="方正仿宋_GBK" w:cs="方正仿宋_GBK"/>
          <w:color w:val="000000"/>
          <w:sz w:val="24"/>
          <w:szCs w:val="24"/>
        </w:rPr>
      </w:pPr>
      <w:bookmarkStart w:id="14" w:name="_Toc4279"/>
      <w:r>
        <w:rPr>
          <w:rFonts w:hint="eastAsia" w:ascii="方正仿宋_GBK" w:hAnsi="方正仿宋_GBK" w:eastAsia="方正仿宋_GBK" w:cs="方正仿宋_GBK"/>
          <w:color w:val="000000"/>
          <w:sz w:val="24"/>
          <w:szCs w:val="24"/>
        </w:rPr>
        <w:t>四、磋商有关说明</w:t>
      </w:r>
      <w:bookmarkEnd w:id="11"/>
      <w:bookmarkEnd w:id="14"/>
    </w:p>
    <w:p>
      <w:pPr>
        <w:wordWrap/>
        <w:adjustRightInd/>
        <w:snapToGrid/>
        <w:spacing w:line="360" w:lineRule="auto"/>
        <w:ind w:firstLine="480" w:firstLineChars="2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（一）凡有意参加磋商的供应商，请在重庆市</w:t>
      </w:r>
      <w:r>
        <w:rPr>
          <w:rFonts w:hint="eastAsia" w:ascii="方正仿宋_GBK" w:hAnsi="方正仿宋_GBK" w:eastAsia="方正仿宋_GBK" w:cs="方正仿宋_GBK"/>
          <w:color w:val="000000"/>
          <w:sz w:val="24"/>
          <w:szCs w:val="24"/>
          <w:lang w:eastAsia="zh-CN"/>
        </w:rPr>
        <w:t>药监局</w:t>
      </w:r>
      <w:r>
        <w:rPr>
          <w:rFonts w:hint="eastAsia" w:ascii="方正仿宋_GBK" w:hAnsi="方正仿宋_GBK" w:eastAsia="方正仿宋_GBK" w:cs="方正仿宋_GBK"/>
          <w:color w:val="000000"/>
          <w:sz w:val="24"/>
          <w:szCs w:val="24"/>
        </w:rPr>
        <w:t>局官网上下载本项目竞争性磋商文件以及补遗等磋商前公布的所有项目资料，无论供应商下载与否，均视为已知晓所有磋商实质性要求内容，竞争性磋商文件购买费在各供应商递交响应文件时一并缴纳。</w:t>
      </w:r>
    </w:p>
    <w:p>
      <w:pPr>
        <w:wordWrap/>
        <w:adjustRightInd/>
        <w:snapToGrid/>
        <w:spacing w:line="360" w:lineRule="auto"/>
        <w:ind w:firstLine="480" w:firstLineChars="2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（二）竞争性磋商文件公告期限：自采购公告发布之日（201</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月2</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日）起</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个工作日。</w:t>
      </w:r>
    </w:p>
    <w:p>
      <w:pPr>
        <w:wordWrap/>
        <w:adjustRightInd/>
        <w:snapToGrid/>
        <w:spacing w:line="360" w:lineRule="auto"/>
        <w:ind w:firstLine="480" w:firstLineChars="2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（三）按《重庆市财政局关于进一步规范投标报名及保证金缴纳的通知》（渝财采购﹝2013﹞30号）文的规定，报名方式为磋商当天现场报名。</w:t>
      </w:r>
    </w:p>
    <w:p>
      <w:pPr>
        <w:wordWrap/>
        <w:adjustRightInd/>
        <w:snapToGrid/>
        <w:spacing w:line="360" w:lineRule="auto"/>
        <w:ind w:firstLine="480" w:firstLineChars="2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（四）竞争性磋商文件无偿提供</w:t>
      </w:r>
      <w:r>
        <w:rPr>
          <w:rFonts w:hint="eastAsia" w:ascii="方正仿宋_GBK" w:hAnsi="方正仿宋_GBK" w:eastAsia="方正仿宋_GBK" w:cs="方正仿宋_GBK"/>
          <w:b/>
          <w:color w:val="000000"/>
          <w:sz w:val="24"/>
          <w:szCs w:val="24"/>
        </w:rPr>
        <w:t>。</w:t>
      </w:r>
    </w:p>
    <w:p>
      <w:pPr>
        <w:wordWrap/>
        <w:adjustRightInd/>
        <w:snapToGrid/>
        <w:spacing w:line="360" w:lineRule="auto"/>
        <w:ind w:firstLine="480" w:firstLineChars="2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（五）供应商须满足以下两种要件，其响应文件才被接受：</w:t>
      </w:r>
    </w:p>
    <w:p>
      <w:pPr>
        <w:wordWrap/>
        <w:adjustRightInd/>
        <w:snapToGrid/>
        <w:spacing w:line="360" w:lineRule="auto"/>
        <w:ind w:firstLine="720" w:firstLineChars="3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1.按时递交了响应文件；</w:t>
      </w:r>
    </w:p>
    <w:p>
      <w:pPr>
        <w:wordWrap/>
        <w:adjustRightInd/>
        <w:snapToGrid/>
        <w:spacing w:line="360" w:lineRule="auto"/>
        <w:ind w:firstLine="720" w:firstLineChars="3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2.按时报名签到；</w:t>
      </w:r>
    </w:p>
    <w:p>
      <w:pPr>
        <w:wordWrap/>
        <w:adjustRightInd/>
        <w:snapToGrid/>
        <w:spacing w:line="360" w:lineRule="auto"/>
        <w:ind w:firstLine="480" w:firstLineChars="2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（六）递交响应文件地点：重庆市</w:t>
      </w:r>
      <w:r>
        <w:rPr>
          <w:rFonts w:hint="eastAsia" w:ascii="方正仿宋_GBK" w:hAnsi="方正仿宋_GBK" w:eastAsia="方正仿宋_GBK" w:cs="方正仿宋_GBK"/>
          <w:color w:val="000000"/>
          <w:sz w:val="24"/>
          <w:szCs w:val="24"/>
          <w:lang w:eastAsia="zh-CN"/>
        </w:rPr>
        <w:t>药监</w:t>
      </w:r>
      <w:r>
        <w:rPr>
          <w:rFonts w:hint="eastAsia" w:ascii="方正仿宋_GBK" w:hAnsi="方正仿宋_GBK" w:eastAsia="方正仿宋_GBK" w:cs="方正仿宋_GBK"/>
          <w:color w:val="000000"/>
          <w:sz w:val="24"/>
          <w:szCs w:val="24"/>
        </w:rPr>
        <w:t>局法规处（重庆市渝北区</w:t>
      </w:r>
      <w:r>
        <w:rPr>
          <w:rFonts w:hint="eastAsia" w:ascii="方正仿宋_GBK" w:hAnsi="方正仿宋_GBK" w:eastAsia="方正仿宋_GBK" w:cs="方正仿宋_GBK"/>
          <w:color w:val="000000"/>
          <w:sz w:val="24"/>
          <w:szCs w:val="24"/>
          <w:lang w:eastAsia="zh-CN"/>
        </w:rPr>
        <w:t>食品城大道</w:t>
      </w:r>
      <w:r>
        <w:rPr>
          <w:rFonts w:hint="eastAsia" w:ascii="方正仿宋_GBK" w:hAnsi="方正仿宋_GBK" w:eastAsia="方正仿宋_GBK" w:cs="方正仿宋_GBK"/>
          <w:color w:val="000000"/>
          <w:sz w:val="24"/>
          <w:szCs w:val="24"/>
          <w:lang w:val="en-US" w:eastAsia="zh-CN"/>
        </w:rPr>
        <w:t>27号1307</w:t>
      </w:r>
      <w:r>
        <w:rPr>
          <w:rFonts w:hint="eastAsia" w:ascii="方正仿宋_GBK" w:hAnsi="方正仿宋_GBK" w:eastAsia="方正仿宋_GBK" w:cs="方正仿宋_GBK"/>
          <w:color w:val="000000"/>
          <w:sz w:val="24"/>
          <w:szCs w:val="24"/>
        </w:rPr>
        <w:t>）</w:t>
      </w:r>
    </w:p>
    <w:p>
      <w:pPr>
        <w:wordWrap/>
        <w:adjustRightInd/>
        <w:snapToGrid/>
        <w:spacing w:line="360" w:lineRule="auto"/>
        <w:ind w:firstLine="480" w:firstLineChars="2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（七）响应文件递交截止时间：201</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日北京时间17:00</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（八）响应文件开启时间：201</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月2日北京时间10:00</w:t>
      </w:r>
    </w:p>
    <w:p>
      <w:pPr>
        <w:pStyle w:val="4"/>
        <w:wordWrap/>
        <w:adjustRightInd/>
        <w:snapToGrid/>
        <w:spacing w:line="360" w:lineRule="auto"/>
        <w:textAlignment w:val="auto"/>
        <w:rPr>
          <w:rFonts w:hint="eastAsia" w:ascii="方正仿宋_GBK" w:hAnsi="方正仿宋_GBK" w:eastAsia="方正仿宋_GBK" w:cs="方正仿宋_GBK"/>
          <w:color w:val="000000"/>
          <w:sz w:val="24"/>
          <w:szCs w:val="24"/>
        </w:rPr>
      </w:pPr>
      <w:bookmarkStart w:id="15" w:name="_Toc373860294"/>
      <w:bookmarkStart w:id="16" w:name="_Toc14206"/>
    </w:p>
    <w:p>
      <w:pPr>
        <w:pStyle w:val="4"/>
        <w:wordWrap/>
        <w:adjustRightInd/>
        <w:snapToGrid/>
        <w:spacing w:line="360" w:lineRule="auto"/>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w:t>
      </w:r>
      <w:bookmarkStart w:id="17" w:name="_Toc11234"/>
      <w:bookmarkEnd w:id="15"/>
      <w:bookmarkEnd w:id="16"/>
      <w:r>
        <w:rPr>
          <w:rFonts w:hint="eastAsia" w:ascii="方正仿宋_GBK" w:hAnsi="方正仿宋_GBK" w:eastAsia="方正仿宋_GBK" w:cs="方正仿宋_GBK"/>
          <w:color w:val="000000"/>
          <w:sz w:val="24"/>
          <w:szCs w:val="24"/>
        </w:rPr>
        <w:t>、</w:t>
      </w:r>
      <w:bookmarkEnd w:id="12"/>
      <w:r>
        <w:rPr>
          <w:rFonts w:hint="eastAsia" w:ascii="方正仿宋_GBK" w:hAnsi="方正仿宋_GBK" w:eastAsia="方正仿宋_GBK" w:cs="方正仿宋_GBK"/>
          <w:color w:val="000000"/>
          <w:sz w:val="24"/>
          <w:szCs w:val="24"/>
        </w:rPr>
        <w:t>其它有关规定</w:t>
      </w:r>
      <w:bookmarkEnd w:id="17"/>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（一）单位负责人为同一人或者存在直接控股、管理关系的不同服务商，不得参加同一合同项下的政府采购活动，否则均为无效响应。</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（二）供应根据采购文件的规定和采购项目的实际情况，拟在成交后将成交项目的非主体、非关键性工作分包的，应当在响应文件中载明分包承担主体，分包承担主体应当具备相应资质条件且不得再次分包。</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（三）超过响应文件截止时间递交的响应文件，恕不接收。</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（四）本项目不接受联合体竞标。</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（五）磋商费用：无论磋商结果如何，服务商参与本项目磋商的所有费用均应由服务商自行承担。</w:t>
      </w:r>
    </w:p>
    <w:p>
      <w:pPr>
        <w:pStyle w:val="4"/>
        <w:wordWrap/>
        <w:adjustRightInd/>
        <w:snapToGrid/>
        <w:spacing w:line="360" w:lineRule="auto"/>
        <w:textAlignment w:val="auto"/>
        <w:rPr>
          <w:rFonts w:hint="eastAsia" w:ascii="方正仿宋_GBK" w:hAnsi="方正仿宋_GBK" w:eastAsia="方正仿宋_GBK" w:cs="方正仿宋_GBK"/>
          <w:color w:val="000000"/>
          <w:sz w:val="24"/>
          <w:szCs w:val="24"/>
        </w:rPr>
      </w:pPr>
      <w:bookmarkStart w:id="18" w:name="_Toc15805"/>
      <w:r>
        <w:rPr>
          <w:rFonts w:hint="eastAsia" w:ascii="方正仿宋_GBK" w:hAnsi="方正仿宋_GBK" w:eastAsia="方正仿宋_GBK" w:cs="方正仿宋_GBK"/>
          <w:color w:val="000000"/>
          <w:sz w:val="24"/>
          <w:szCs w:val="24"/>
        </w:rPr>
        <w:t>六、采购项目需落实的政府采购政策</w:t>
      </w:r>
      <w:bookmarkEnd w:id="18"/>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（二）按照&lt;财政部 工业和信息化部关于印发《政府采购促进中小企业发展暂行办法》的通知&gt;（财库〔2011〕181号）的规定，落实促进中小企业发展政策。</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（三）按照&lt;财政部、司法部关于政府采购支持监狱企业发展有关问题的通知&gt;（财库〔2014〕68号）的规定，落实支持监狱企业发展政策。</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（四）按照《三部门联合发布关于促进残疾人就业政府采购政策的通知》（财库〔2017〕 141号）的规定，落实支持残疾人福利性单位发展政策。</w:t>
      </w:r>
    </w:p>
    <w:p>
      <w:pPr>
        <w:pStyle w:val="4"/>
        <w:wordWrap/>
        <w:adjustRightInd/>
        <w:snapToGrid/>
        <w:spacing w:line="360" w:lineRule="auto"/>
        <w:textAlignment w:val="auto"/>
        <w:rPr>
          <w:rFonts w:hint="eastAsia" w:ascii="方正仿宋_GBK" w:hAnsi="方正仿宋_GBK" w:eastAsia="方正仿宋_GBK" w:cs="方正仿宋_GBK"/>
          <w:color w:val="000000"/>
          <w:sz w:val="24"/>
          <w:szCs w:val="24"/>
        </w:rPr>
      </w:pPr>
      <w:bookmarkStart w:id="19" w:name="_Toc32650"/>
      <w:r>
        <w:rPr>
          <w:rFonts w:hint="eastAsia" w:ascii="方正仿宋_GBK" w:hAnsi="方正仿宋_GBK" w:eastAsia="方正仿宋_GBK" w:cs="方正仿宋_GBK"/>
          <w:color w:val="000000"/>
          <w:sz w:val="24"/>
          <w:szCs w:val="24"/>
        </w:rPr>
        <w:t>七、联系方式</w:t>
      </w:r>
      <w:bookmarkEnd w:id="19"/>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采购人：</w:t>
      </w:r>
      <w:r>
        <w:rPr>
          <w:rFonts w:hint="eastAsia" w:ascii="方正仿宋_GBK" w:hAnsi="方正仿宋_GBK" w:eastAsia="方正仿宋_GBK" w:cs="方正仿宋_GBK"/>
          <w:color w:val="000000"/>
          <w:sz w:val="24"/>
          <w:szCs w:val="24"/>
          <w:lang w:val="en-US" w:eastAsia="zh-CN"/>
        </w:rPr>
        <w:t>重庆市药品监督管理局</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pPr>
        <w:wordWrap/>
        <w:adjustRightInd/>
        <w:snapToGrid/>
        <w:spacing w:line="360" w:lineRule="auto"/>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w:t>
      </w:r>
      <w:r>
        <w:rPr>
          <w:rFonts w:hint="eastAsia" w:ascii="方正仿宋_GBK" w:hAnsi="方正仿宋_GBK" w:eastAsia="方正仿宋_GBK" w:cs="方正仿宋_GBK"/>
          <w:color w:val="000000"/>
          <w:sz w:val="24"/>
          <w:szCs w:val="24"/>
          <w:lang w:val="en-US" w:eastAsia="zh-CN"/>
        </w:rPr>
        <w:t>60353615</w:t>
      </w:r>
    </w:p>
    <w:p>
      <w:pPr>
        <w:wordWrap/>
        <w:adjustRightInd/>
        <w:snapToGrid/>
        <w:spacing w:line="360" w:lineRule="auto"/>
        <w:ind w:firstLine="480" w:firstLineChars="200"/>
        <w:textAlignment w:val="auto"/>
        <w:rPr>
          <w:rFonts w:hint="eastAsia" w:ascii="方正仿宋_GBK" w:hAnsi="方正仿宋_GBK" w:eastAsia="方正仿宋_GBK" w:cs="方正仿宋_GBK"/>
          <w:b/>
          <w:color w:val="000000"/>
          <w:sz w:val="24"/>
          <w:szCs w:val="24"/>
          <w:lang w:val="en-US" w:eastAsia="zh-CN"/>
        </w:rPr>
        <w:sectPr>
          <w:headerReference r:id="rId5" w:type="default"/>
          <w:pgSz w:w="11907" w:h="16840"/>
          <w:pgMar w:top="1134" w:right="1418" w:bottom="1134" w:left="1418" w:header="964" w:footer="992" w:gutter="0"/>
          <w:pgNumType w:fmt="numberInDash" w:start="1"/>
          <w:cols w:space="720" w:num="1"/>
          <w:docGrid w:linePitch="312" w:charSpace="0"/>
        </w:sectPr>
      </w:pPr>
      <w:r>
        <w:rPr>
          <w:rFonts w:hint="eastAsia" w:ascii="方正仿宋_GBK" w:hAnsi="方正仿宋_GBK" w:eastAsia="方正仿宋_GBK" w:cs="方正仿宋_GBK"/>
          <w:color w:val="000000"/>
          <w:sz w:val="24"/>
          <w:szCs w:val="24"/>
        </w:rPr>
        <w:t>地  址：</w:t>
      </w:r>
      <w:r>
        <w:rPr>
          <w:rFonts w:hint="eastAsia" w:ascii="方正仿宋_GBK" w:hAnsi="方正仿宋_GBK" w:eastAsia="方正仿宋_GBK" w:cs="方正仿宋_GBK"/>
          <w:color w:val="000000"/>
          <w:sz w:val="24"/>
          <w:szCs w:val="24"/>
          <w:lang w:val="en-US" w:eastAsia="zh-CN"/>
        </w:rPr>
        <w:t>重庆市渝北区食品城大道27号</w:t>
      </w:r>
    </w:p>
    <w:p>
      <w:pPr>
        <w:pStyle w:val="3"/>
        <w:wordWrap/>
        <w:spacing w:line="360" w:lineRule="auto"/>
        <w:textAlignment w:val="auto"/>
        <w:rPr>
          <w:rFonts w:hint="eastAsia"/>
          <w:color w:val="000000"/>
        </w:rPr>
      </w:pPr>
      <w:bookmarkStart w:id="20" w:name="_Toc4352230"/>
      <w:bookmarkStart w:id="21" w:name="_Toc4354755"/>
      <w:bookmarkStart w:id="22" w:name="_Toc26934"/>
      <w:bookmarkStart w:id="23" w:name="_Toc18107"/>
      <w:r>
        <w:rPr>
          <w:rFonts w:hint="eastAsia"/>
          <w:color w:val="000000"/>
        </w:rPr>
        <w:t>第二篇  采购技术需求</w:t>
      </w:r>
      <w:bookmarkEnd w:id="20"/>
      <w:bookmarkEnd w:id="21"/>
      <w:bookmarkEnd w:id="22"/>
      <w:bookmarkEnd w:id="23"/>
    </w:p>
    <w:p>
      <w:pPr>
        <w:pStyle w:val="4"/>
        <w:widowControl w:val="0"/>
        <w:wordWrap/>
        <w:adjustRightInd/>
        <w:snapToGrid/>
        <w:spacing w:line="360" w:lineRule="auto"/>
        <w:textAlignment w:val="auto"/>
        <w:rPr>
          <w:rFonts w:hint="eastAsia" w:ascii="方正仿宋_GBK" w:hAnsi="方正仿宋_GBK" w:eastAsia="方正仿宋_GBK" w:cs="方正仿宋_GBK"/>
          <w:color w:val="000000"/>
        </w:rPr>
      </w:pPr>
      <w:bookmarkStart w:id="24" w:name="_Toc13133"/>
      <w:bookmarkStart w:id="25" w:name="_Toc12789058"/>
      <w:r>
        <w:rPr>
          <w:rFonts w:hint="eastAsia" w:ascii="方正仿宋_GBK" w:hAnsi="方正仿宋_GBK" w:eastAsia="方正仿宋_GBK" w:cs="方正仿宋_GBK"/>
          <w:color w:val="000000"/>
        </w:rPr>
        <w:t>一、采购需求</w:t>
      </w:r>
      <w:bookmarkEnd w:id="24"/>
    </w:p>
    <w:p>
      <w:pPr>
        <w:pStyle w:val="203"/>
        <w:widowControl w:val="0"/>
        <w:numPr>
          <w:ilvl w:val="0"/>
          <w:numId w:val="13"/>
        </w:numPr>
        <w:wordWrap/>
        <w:adjustRightInd/>
        <w:snapToGrid/>
        <w:spacing w:line="360" w:lineRule="auto"/>
        <w:ind w:firstLineChars="0"/>
        <w:textAlignment w:val="auto"/>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日常法律事务。接受我局的法律咨询，并提供相应的口头或书面解答；根据我局要求，审查并修改甲方因日常管理需要而与第三方签订的协议、合同及其它法律文书；就我局在日常管理工作中的纠纷等有关事项，与第三方进行交涉，出具律师函，维护甲方的合法权益；应我局要求，起草并以甲方名义在公共媒介公布法律公告；应邀出席我局的重要会议，应甲方的要求提供专业法律建议；依据我局要求，每年向我局提供有关的法律培训；根据我局决策需要，提供其它相关领域内的专业咨询及服务；依据律师法、本合同约定或其他约定、顾问律师明确承诺等纳入日常服务范畴的其他服务内容。</w:t>
      </w:r>
    </w:p>
    <w:p>
      <w:pPr>
        <w:pStyle w:val="203"/>
        <w:widowControl w:val="0"/>
        <w:numPr>
          <w:ilvl w:val="0"/>
          <w:numId w:val="13"/>
        </w:numPr>
        <w:wordWrap/>
        <w:adjustRightInd/>
        <w:snapToGrid/>
        <w:spacing w:line="360" w:lineRule="auto"/>
        <w:ind w:firstLineChars="0"/>
        <w:textAlignment w:val="auto"/>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提供非诉讼专项法律服务出具法律意见书等。</w:t>
      </w:r>
    </w:p>
    <w:p>
      <w:pPr>
        <w:pStyle w:val="203"/>
        <w:widowControl w:val="0"/>
        <w:numPr>
          <w:ilvl w:val="0"/>
          <w:numId w:val="13"/>
        </w:numPr>
        <w:wordWrap/>
        <w:adjustRightInd/>
        <w:snapToGrid/>
        <w:spacing w:line="360" w:lineRule="auto"/>
        <w:ind w:firstLineChars="0"/>
        <w:textAlignment w:val="auto"/>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代理我局进行诉讼或商事仲裁以及劳动争议仲裁等各种诉讼类法律服务。</w:t>
      </w:r>
    </w:p>
    <w:p>
      <w:pPr>
        <w:pStyle w:val="203"/>
        <w:widowControl w:val="0"/>
        <w:numPr>
          <w:ilvl w:val="0"/>
          <w:numId w:val="13"/>
        </w:numPr>
        <w:wordWrap/>
        <w:adjustRightInd/>
        <w:snapToGrid/>
        <w:spacing w:line="360" w:lineRule="auto"/>
        <w:ind w:firstLineChars="0"/>
        <w:textAlignment w:val="auto"/>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参与我局政策研究。针对我局日常执法管理工作中所可能遇到的法律问题或疑问进行分析、研究，提供口头或书面的法律意见。</w:t>
      </w:r>
    </w:p>
    <w:p>
      <w:pPr>
        <w:pStyle w:val="4"/>
        <w:widowControl w:val="0"/>
        <w:wordWrap/>
        <w:adjustRightInd/>
        <w:snapToGrid/>
        <w:spacing w:line="360" w:lineRule="auto"/>
        <w:textAlignment w:val="auto"/>
        <w:rPr>
          <w:rFonts w:hint="eastAsia" w:ascii="方正仿宋_GBK" w:hAnsi="方正仿宋_GBK" w:eastAsia="方正仿宋_GBK" w:cs="方正仿宋_GBK"/>
          <w:color w:val="000000"/>
        </w:rPr>
      </w:pPr>
      <w:bookmarkStart w:id="26" w:name="_Toc12122"/>
      <w:r>
        <w:rPr>
          <w:rFonts w:hint="eastAsia" w:ascii="方正仿宋_GBK" w:hAnsi="方正仿宋_GBK" w:eastAsia="方正仿宋_GBK" w:cs="方正仿宋_GBK"/>
          <w:color w:val="000000"/>
        </w:rPr>
        <w:t>二、实施方案</w:t>
      </w:r>
      <w:bookmarkEnd w:id="26"/>
    </w:p>
    <w:p>
      <w:pPr>
        <w:widowControl w:val="0"/>
        <w:wordWrap/>
        <w:adjustRightInd/>
        <w:snapToGrid/>
        <w:spacing w:line="360" w:lineRule="auto"/>
        <w:ind w:firstLine="480" w:firstLineChars="200"/>
        <w:jc w:val="left"/>
        <w:textAlignment w:val="auto"/>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服务商须针对本项目制定实施方案以及人员配置情况。</w:t>
      </w:r>
    </w:p>
    <w:p>
      <w:pPr>
        <w:widowControl w:val="0"/>
        <w:wordWrap/>
        <w:adjustRightInd/>
        <w:snapToGrid/>
        <w:spacing w:line="360" w:lineRule="auto"/>
        <w:textAlignment w:val="auto"/>
        <w:rPr>
          <w:rFonts w:hint="eastAsia" w:ascii="方正仿宋_GBK" w:hAnsi="方正仿宋_GBK" w:eastAsia="方正仿宋_GBK" w:cs="方正仿宋_GBK"/>
          <w:color w:val="000000"/>
          <w:szCs w:val="24"/>
        </w:rPr>
      </w:pPr>
    </w:p>
    <w:p>
      <w:pPr>
        <w:pStyle w:val="4"/>
        <w:widowControl w:val="0"/>
        <w:wordWrap/>
        <w:adjustRightInd/>
        <w:snapToGrid/>
        <w:spacing w:before="0" w:after="0" w:line="360" w:lineRule="auto"/>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三、其他</w:t>
      </w:r>
    </w:p>
    <w:p>
      <w:pPr>
        <w:widowControl w:val="0"/>
        <w:wordWrap/>
        <w:adjustRightInd/>
        <w:snapToGrid/>
        <w:spacing w:line="360" w:lineRule="auto"/>
        <w:ind w:firstLine="480" w:firstLineChars="200"/>
        <w:jc w:val="left"/>
        <w:textAlignment w:val="auto"/>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如成交供应商履行本竞争性磋商项目达到重庆市</w:t>
      </w:r>
      <w:r>
        <w:rPr>
          <w:rFonts w:hint="eastAsia" w:ascii="方正仿宋_GBK" w:hAnsi="方正仿宋_GBK" w:eastAsia="方正仿宋_GBK" w:cs="方正仿宋_GBK"/>
          <w:bCs/>
          <w:color w:val="000000"/>
          <w:sz w:val="24"/>
          <w:lang w:val="en-US" w:eastAsia="zh-CN"/>
        </w:rPr>
        <w:t>药监</w:t>
      </w:r>
      <w:r>
        <w:rPr>
          <w:rFonts w:hint="eastAsia" w:ascii="方正仿宋_GBK" w:hAnsi="方正仿宋_GBK" w:eastAsia="方正仿宋_GBK" w:cs="方正仿宋_GBK"/>
          <w:bCs/>
          <w:color w:val="000000"/>
          <w:sz w:val="24"/>
        </w:rPr>
        <w:t>局要求且服务良好，重庆市</w:t>
      </w:r>
      <w:r>
        <w:rPr>
          <w:rFonts w:hint="eastAsia" w:ascii="方正仿宋_GBK" w:hAnsi="方正仿宋_GBK" w:eastAsia="方正仿宋_GBK" w:cs="方正仿宋_GBK"/>
          <w:bCs/>
          <w:color w:val="000000"/>
          <w:sz w:val="24"/>
          <w:lang w:val="en-US" w:eastAsia="zh-CN"/>
        </w:rPr>
        <w:t>药监</w:t>
      </w:r>
      <w:r>
        <w:rPr>
          <w:rFonts w:hint="eastAsia" w:ascii="方正仿宋_GBK" w:hAnsi="方正仿宋_GBK" w:eastAsia="方正仿宋_GBK" w:cs="方正仿宋_GBK"/>
          <w:bCs/>
          <w:color w:val="000000"/>
          <w:sz w:val="24"/>
        </w:rPr>
        <w:t>局可以在下一年度法律顾问选聘中给予其优先资格；如成交供应商没有达到重庆市</w:t>
      </w:r>
      <w:r>
        <w:rPr>
          <w:rFonts w:hint="eastAsia" w:ascii="方正仿宋_GBK" w:hAnsi="方正仿宋_GBK" w:eastAsia="方正仿宋_GBK" w:cs="方正仿宋_GBK"/>
          <w:bCs/>
          <w:color w:val="000000"/>
          <w:sz w:val="24"/>
          <w:lang w:val="en-US" w:eastAsia="zh-CN"/>
        </w:rPr>
        <w:t>药监</w:t>
      </w:r>
      <w:r>
        <w:rPr>
          <w:rFonts w:hint="eastAsia" w:ascii="方正仿宋_GBK" w:hAnsi="方正仿宋_GBK" w:eastAsia="方正仿宋_GBK" w:cs="方正仿宋_GBK"/>
          <w:bCs/>
          <w:color w:val="000000"/>
          <w:sz w:val="24"/>
        </w:rPr>
        <w:t>局的服务要求，重庆市</w:t>
      </w:r>
      <w:r>
        <w:rPr>
          <w:rFonts w:hint="eastAsia" w:ascii="方正仿宋_GBK" w:hAnsi="方正仿宋_GBK" w:eastAsia="方正仿宋_GBK" w:cs="方正仿宋_GBK"/>
          <w:bCs/>
          <w:color w:val="000000"/>
          <w:sz w:val="24"/>
          <w:lang w:val="en-US" w:eastAsia="zh-CN"/>
        </w:rPr>
        <w:t>药监</w:t>
      </w:r>
      <w:r>
        <w:rPr>
          <w:rFonts w:hint="eastAsia" w:ascii="方正仿宋_GBK" w:hAnsi="方正仿宋_GBK" w:eastAsia="方正仿宋_GBK" w:cs="方正仿宋_GBK"/>
          <w:bCs/>
          <w:color w:val="000000"/>
          <w:sz w:val="24"/>
        </w:rPr>
        <w:t>局有权终止合同并不予给付顾问费用。</w:t>
      </w:r>
    </w:p>
    <w:p>
      <w:pPr>
        <w:widowControl w:val="0"/>
        <w:wordWrap/>
        <w:adjustRightInd/>
        <w:snapToGrid/>
        <w:spacing w:line="360" w:lineRule="auto"/>
        <w:textAlignment w:val="auto"/>
        <w:rPr>
          <w:rFonts w:hint="eastAsia" w:ascii="方正仿宋_GBK" w:hAnsi="方正仿宋_GBK" w:eastAsia="方正仿宋_GBK" w:cs="方正仿宋_GBK"/>
          <w:color w:val="000000"/>
          <w:szCs w:val="24"/>
        </w:rPr>
        <w:sectPr>
          <w:footerReference r:id="rId6" w:type="default"/>
          <w:footerReference r:id="rId7" w:type="even"/>
          <w:pgSz w:w="11907" w:h="16840"/>
          <w:pgMar w:top="1134" w:right="1191" w:bottom="1134" w:left="1304" w:header="964" w:footer="992" w:gutter="0"/>
          <w:pgNumType w:fmt="numberInDash"/>
          <w:cols w:space="720" w:num="1"/>
          <w:docGrid w:linePitch="312" w:charSpace="0"/>
        </w:sectPr>
      </w:pPr>
    </w:p>
    <w:p>
      <w:pPr>
        <w:pStyle w:val="3"/>
        <w:wordWrap/>
        <w:spacing w:line="360" w:lineRule="auto"/>
        <w:textAlignment w:val="auto"/>
        <w:rPr>
          <w:rFonts w:hint="eastAsia"/>
          <w:b/>
          <w:color w:val="000000"/>
        </w:rPr>
      </w:pPr>
      <w:bookmarkStart w:id="27" w:name="_Toc4352245"/>
      <w:bookmarkStart w:id="28" w:name="_Toc3589"/>
      <w:bookmarkStart w:id="29" w:name="_Toc4354770"/>
      <w:bookmarkStart w:id="30" w:name="_Toc7513"/>
      <w:r>
        <w:rPr>
          <w:rFonts w:hint="eastAsia"/>
          <w:b/>
          <w:color w:val="000000"/>
        </w:rPr>
        <w:t>第三篇  采购商务需求</w:t>
      </w:r>
      <w:bookmarkEnd w:id="25"/>
      <w:bookmarkEnd w:id="27"/>
      <w:bookmarkEnd w:id="28"/>
      <w:bookmarkEnd w:id="29"/>
      <w:bookmarkEnd w:id="30"/>
    </w:p>
    <w:p>
      <w:pPr>
        <w:pStyle w:val="4"/>
        <w:widowControl w:val="0"/>
        <w:wordWrap/>
        <w:snapToGrid/>
        <w:spacing w:line="360" w:lineRule="auto"/>
        <w:textAlignment w:val="auto"/>
        <w:rPr>
          <w:rFonts w:hint="eastAsia" w:ascii="方正仿宋_GBK" w:hAnsi="方正仿宋_GBK" w:eastAsia="方正仿宋_GBK" w:cs="方正仿宋_GBK"/>
          <w:color w:val="000000"/>
        </w:rPr>
      </w:pPr>
      <w:bookmarkStart w:id="31" w:name="_Toc344475120"/>
      <w:bookmarkStart w:id="32" w:name="_Toc30359"/>
      <w:r>
        <w:rPr>
          <w:rFonts w:hint="eastAsia" w:ascii="方正仿宋_GBK" w:hAnsi="方正仿宋_GBK" w:eastAsia="方正仿宋_GBK" w:cs="方正仿宋_GBK"/>
          <w:color w:val="000000"/>
        </w:rPr>
        <w:t>一、实施时间、地点</w:t>
      </w:r>
      <w:bookmarkEnd w:id="31"/>
      <w:r>
        <w:rPr>
          <w:rFonts w:hint="eastAsia" w:ascii="方正仿宋_GBK" w:hAnsi="方正仿宋_GBK" w:eastAsia="方正仿宋_GBK" w:cs="方正仿宋_GBK"/>
          <w:color w:val="000000"/>
        </w:rPr>
        <w:t>及验收方式</w:t>
      </w:r>
      <w:bookmarkEnd w:id="32"/>
    </w:p>
    <w:p>
      <w:pPr>
        <w:pStyle w:val="35"/>
        <w:widowControl w:val="0"/>
        <w:wordWrap/>
        <w:snapToGrid/>
        <w:spacing w:line="360" w:lineRule="auto"/>
        <w:ind w:firstLine="480"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（一）实施时间：201</w:t>
      </w:r>
      <w:r>
        <w:rPr>
          <w:rFonts w:hint="eastAsia" w:ascii="方正仿宋_GBK" w:hAnsi="方正仿宋_GBK" w:eastAsia="方正仿宋_GBK" w:cs="方正仿宋_GBK"/>
          <w:color w:val="000000"/>
          <w:lang w:val="en-US" w:eastAsia="zh-CN"/>
        </w:rPr>
        <w:t>9</w:t>
      </w:r>
      <w:r>
        <w:rPr>
          <w:rFonts w:hint="eastAsia" w:ascii="方正仿宋_GBK" w:hAnsi="方正仿宋_GBK" w:eastAsia="方正仿宋_GBK" w:cs="方正仿宋_GBK"/>
          <w:color w:val="000000"/>
        </w:rPr>
        <w:t>年</w:t>
      </w:r>
      <w:r>
        <w:rPr>
          <w:rFonts w:hint="eastAsia" w:ascii="方正仿宋_GBK" w:hAnsi="方正仿宋_GBK" w:eastAsia="方正仿宋_GBK" w:cs="方正仿宋_GBK"/>
          <w:color w:val="000000"/>
          <w:lang w:val="en-US" w:eastAsia="zh-CN"/>
        </w:rPr>
        <w:t>4</w:t>
      </w:r>
      <w:r>
        <w:rPr>
          <w:rFonts w:hint="eastAsia" w:ascii="方正仿宋_GBK" w:hAnsi="方正仿宋_GBK" w:eastAsia="方正仿宋_GBK" w:cs="方正仿宋_GBK"/>
          <w:color w:val="000000"/>
        </w:rPr>
        <w:t>月1</w:t>
      </w:r>
      <w:r>
        <w:rPr>
          <w:rFonts w:hint="eastAsia" w:ascii="方正仿宋_GBK" w:hAnsi="方正仿宋_GBK" w:eastAsia="方正仿宋_GBK" w:cs="方正仿宋_GBK"/>
          <w:color w:val="000000"/>
          <w:lang w:val="en-US" w:eastAsia="zh-CN"/>
        </w:rPr>
        <w:t>2</w:t>
      </w:r>
      <w:r>
        <w:rPr>
          <w:rFonts w:hint="eastAsia" w:ascii="方正仿宋_GBK" w:hAnsi="方正仿宋_GBK" w:eastAsia="方正仿宋_GBK" w:cs="方正仿宋_GBK"/>
          <w:color w:val="000000"/>
        </w:rPr>
        <w:t>日-20</w:t>
      </w:r>
      <w:r>
        <w:rPr>
          <w:rFonts w:hint="eastAsia" w:ascii="方正仿宋_GBK" w:hAnsi="方正仿宋_GBK" w:eastAsia="方正仿宋_GBK" w:cs="方正仿宋_GBK"/>
          <w:color w:val="000000"/>
          <w:lang w:val="en-US" w:eastAsia="zh-CN"/>
        </w:rPr>
        <w:t>20</w:t>
      </w:r>
      <w:r>
        <w:rPr>
          <w:rFonts w:hint="eastAsia" w:ascii="方正仿宋_GBK" w:hAnsi="方正仿宋_GBK" w:eastAsia="方正仿宋_GBK" w:cs="方正仿宋_GBK"/>
          <w:color w:val="000000"/>
        </w:rPr>
        <w:t>年</w:t>
      </w:r>
      <w:r>
        <w:rPr>
          <w:rFonts w:hint="eastAsia" w:ascii="方正仿宋_GBK" w:hAnsi="方正仿宋_GBK" w:eastAsia="方正仿宋_GBK" w:cs="方正仿宋_GBK"/>
          <w:color w:val="000000"/>
          <w:lang w:val="en-US" w:eastAsia="zh-CN"/>
        </w:rPr>
        <w:t>4</w:t>
      </w:r>
      <w:r>
        <w:rPr>
          <w:rFonts w:hint="eastAsia" w:ascii="方正仿宋_GBK" w:hAnsi="方正仿宋_GBK" w:eastAsia="方正仿宋_GBK" w:cs="方正仿宋_GBK"/>
          <w:color w:val="000000"/>
        </w:rPr>
        <w:t>月</w:t>
      </w:r>
      <w:r>
        <w:rPr>
          <w:rFonts w:hint="eastAsia" w:ascii="方正仿宋_GBK" w:hAnsi="方正仿宋_GBK" w:eastAsia="方正仿宋_GBK" w:cs="方正仿宋_GBK"/>
          <w:color w:val="000000"/>
          <w:lang w:val="en-US" w:eastAsia="zh-CN"/>
        </w:rPr>
        <w:t>11</w:t>
      </w:r>
      <w:r>
        <w:rPr>
          <w:rFonts w:hint="eastAsia" w:ascii="方正仿宋_GBK" w:hAnsi="方正仿宋_GBK" w:eastAsia="方正仿宋_GBK" w:cs="方正仿宋_GBK"/>
          <w:color w:val="000000"/>
        </w:rPr>
        <w:t>日</w:t>
      </w:r>
    </w:p>
    <w:p>
      <w:pPr>
        <w:pStyle w:val="35"/>
        <w:widowControl w:val="0"/>
        <w:wordWrap/>
        <w:snapToGrid/>
        <w:spacing w:line="360" w:lineRule="auto"/>
        <w:ind w:firstLine="480"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（二）实施地点：采购人指定地点。</w:t>
      </w:r>
    </w:p>
    <w:p>
      <w:pPr>
        <w:pStyle w:val="4"/>
        <w:widowControl w:val="0"/>
        <w:wordWrap/>
        <w:snapToGrid/>
        <w:spacing w:line="360" w:lineRule="auto"/>
        <w:textAlignment w:val="auto"/>
        <w:rPr>
          <w:rFonts w:hint="eastAsia" w:ascii="方正仿宋_GBK" w:hAnsi="方正仿宋_GBK" w:eastAsia="方正仿宋_GBK" w:cs="方正仿宋_GBK"/>
          <w:color w:val="000000"/>
        </w:rPr>
      </w:pPr>
      <w:bookmarkStart w:id="33" w:name="_Toc344475121"/>
      <w:bookmarkStart w:id="34" w:name="_Toc1985"/>
      <w:bookmarkStart w:id="35" w:name="_Toc25625"/>
      <w:bookmarkStart w:id="36" w:name="_Toc344475122"/>
      <w:r>
        <w:rPr>
          <w:rFonts w:hint="eastAsia" w:ascii="方正仿宋_GBK" w:hAnsi="方正仿宋_GBK" w:eastAsia="方正仿宋_GBK" w:cs="方正仿宋_GBK"/>
          <w:color w:val="000000"/>
        </w:rPr>
        <w:t>二、</w:t>
      </w:r>
      <w:bookmarkEnd w:id="33"/>
      <w:r>
        <w:rPr>
          <w:rFonts w:hint="eastAsia" w:ascii="方正仿宋_GBK" w:hAnsi="方正仿宋_GBK" w:eastAsia="方正仿宋_GBK" w:cs="方正仿宋_GBK"/>
          <w:color w:val="000000"/>
        </w:rPr>
        <w:t>报价要求</w:t>
      </w:r>
      <w:bookmarkEnd w:id="34"/>
      <w:bookmarkEnd w:id="35"/>
    </w:p>
    <w:p>
      <w:pPr>
        <w:widowControl w:val="0"/>
        <w:wordWrap/>
        <w:snapToGrid/>
        <w:spacing w:line="360" w:lineRule="auto"/>
        <w:ind w:firstLine="54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zCs w:val="24"/>
        </w:rPr>
        <w:t>磋商报价包括完成本项目全部工作任务所需的服务费、人工费、</w:t>
      </w:r>
      <w:r>
        <w:rPr>
          <w:rFonts w:hint="eastAsia" w:ascii="方正仿宋_GBK" w:hAnsi="方正仿宋_GBK" w:eastAsia="方正仿宋_GBK" w:cs="方正仿宋_GBK"/>
          <w:color w:val="000000"/>
          <w:kern w:val="0"/>
          <w:szCs w:val="24"/>
        </w:rPr>
        <w:t>差旅费以及服务商应缴纳的</w:t>
      </w:r>
      <w:r>
        <w:rPr>
          <w:rFonts w:hint="eastAsia" w:ascii="方正仿宋_GBK" w:hAnsi="方正仿宋_GBK" w:eastAsia="方正仿宋_GBK" w:cs="方正仿宋_GBK"/>
          <w:color w:val="000000"/>
          <w:szCs w:val="24"/>
        </w:rPr>
        <w:t>税费等</w:t>
      </w:r>
      <w:r>
        <w:rPr>
          <w:rFonts w:hint="eastAsia" w:ascii="方正仿宋_GBK" w:hAnsi="方正仿宋_GBK" w:eastAsia="方正仿宋_GBK" w:cs="方正仿宋_GBK"/>
          <w:color w:val="000000"/>
          <w:kern w:val="0"/>
          <w:szCs w:val="24"/>
        </w:rPr>
        <w:t>全部费用</w:t>
      </w:r>
      <w:r>
        <w:rPr>
          <w:rFonts w:hint="eastAsia" w:ascii="方正仿宋_GBK" w:hAnsi="方正仿宋_GBK" w:eastAsia="方正仿宋_GBK" w:cs="方正仿宋_GBK"/>
          <w:color w:val="000000"/>
          <w:kern w:val="0"/>
          <w:szCs w:val="24"/>
          <w:lang w:eastAsia="zh-CN"/>
        </w:rPr>
        <w:t>，</w:t>
      </w:r>
      <w:r>
        <w:rPr>
          <w:rFonts w:hint="eastAsia" w:ascii="方正仿宋_GBK" w:hAnsi="方正仿宋_GBK" w:eastAsia="方正仿宋_GBK" w:cs="方正仿宋_GBK"/>
          <w:color w:val="000000"/>
          <w:sz w:val="24"/>
        </w:rPr>
        <w:t>但不包括重庆市所属区域外办理案件相关差旅费（以合同协商为准）</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Cs w:val="24"/>
        </w:rPr>
        <w:t>因成交服务商自身原因造成漏报、少报皆由其自行承担责任，采购人不再补偿。</w:t>
      </w:r>
    </w:p>
    <w:p>
      <w:pPr>
        <w:pStyle w:val="4"/>
        <w:widowControl w:val="0"/>
        <w:wordWrap/>
        <w:snapToGrid/>
        <w:spacing w:line="360" w:lineRule="auto"/>
        <w:textAlignment w:val="auto"/>
        <w:rPr>
          <w:rFonts w:hint="eastAsia" w:ascii="方正仿宋_GBK" w:hAnsi="方正仿宋_GBK" w:eastAsia="方正仿宋_GBK" w:cs="方正仿宋_GBK"/>
          <w:color w:val="000000"/>
        </w:rPr>
      </w:pPr>
      <w:bookmarkStart w:id="37" w:name="_Toc21038"/>
      <w:bookmarkStart w:id="38" w:name="_Toc18192"/>
      <w:r>
        <w:rPr>
          <w:rFonts w:hint="eastAsia" w:ascii="方正仿宋_GBK" w:hAnsi="方正仿宋_GBK" w:eastAsia="方正仿宋_GBK" w:cs="方正仿宋_GBK"/>
          <w:color w:val="000000"/>
        </w:rPr>
        <w:t>三、</w:t>
      </w:r>
      <w:bookmarkStart w:id="39" w:name="_Toc398650620"/>
      <w:r>
        <w:rPr>
          <w:rFonts w:hint="eastAsia" w:ascii="方正仿宋_GBK" w:hAnsi="方正仿宋_GBK" w:eastAsia="方正仿宋_GBK" w:cs="方正仿宋_GBK"/>
          <w:color w:val="000000"/>
        </w:rPr>
        <w:t>质量保证及售后服务</w:t>
      </w:r>
      <w:bookmarkEnd w:id="37"/>
      <w:bookmarkEnd w:id="38"/>
      <w:bookmarkEnd w:id="39"/>
    </w:p>
    <w:p>
      <w:pPr>
        <w:widowControl w:val="0"/>
        <w:wordWrap/>
        <w:snapToGrid/>
        <w:spacing w:line="360" w:lineRule="auto"/>
        <w:ind w:firstLine="480" w:firstLineChars="200"/>
        <w:textAlignment w:val="auto"/>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成交服务商应按竞争性磋商文件以及合同约定的服务内容、技术要求、质量标准向采购人提供资产清查服务及相关配合服务。</w:t>
      </w:r>
    </w:p>
    <w:p>
      <w:pPr>
        <w:widowControl w:val="0"/>
        <w:wordWrap/>
        <w:autoSpaceDE w:val="0"/>
        <w:autoSpaceDN w:val="0"/>
        <w:adjustRightInd w:val="0"/>
        <w:snapToGrid/>
        <w:spacing w:line="360" w:lineRule="auto"/>
        <w:ind w:firstLine="480" w:firstLineChars="200"/>
        <w:textAlignment w:val="auto"/>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合作期间，设专人对接工作，并保证周末及其他任何节假日24小时可联络到对接人。</w:t>
      </w:r>
    </w:p>
    <w:p>
      <w:pPr>
        <w:pStyle w:val="4"/>
        <w:widowControl w:val="0"/>
        <w:wordWrap/>
        <w:snapToGrid/>
        <w:spacing w:line="360" w:lineRule="auto"/>
        <w:textAlignment w:val="auto"/>
        <w:rPr>
          <w:rFonts w:hint="eastAsia" w:ascii="方正仿宋_GBK" w:hAnsi="方正仿宋_GBK" w:eastAsia="方正仿宋_GBK" w:cs="方正仿宋_GBK"/>
          <w:color w:val="000000"/>
        </w:rPr>
      </w:pPr>
      <w:bookmarkStart w:id="40" w:name="_Toc5671"/>
      <w:r>
        <w:rPr>
          <w:rFonts w:hint="eastAsia" w:ascii="方正仿宋_GBK" w:hAnsi="方正仿宋_GBK" w:eastAsia="方正仿宋_GBK" w:cs="方正仿宋_GBK"/>
          <w:color w:val="000000"/>
        </w:rPr>
        <w:t>四、付款方式</w:t>
      </w:r>
      <w:bookmarkEnd w:id="36"/>
      <w:bookmarkEnd w:id="40"/>
    </w:p>
    <w:p>
      <w:pPr>
        <w:widowControl w:val="0"/>
        <w:wordWrap/>
        <w:snapToGrid/>
        <w:spacing w:line="360" w:lineRule="auto"/>
        <w:ind w:firstLine="540"/>
        <w:textAlignment w:val="auto"/>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（一）成交服务商向采购人开具全额发票。</w:t>
      </w:r>
    </w:p>
    <w:p>
      <w:pPr>
        <w:widowControl w:val="0"/>
        <w:wordWrap/>
        <w:snapToGrid/>
        <w:spacing w:line="360" w:lineRule="auto"/>
        <w:ind w:firstLine="540"/>
        <w:textAlignment w:val="auto"/>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（二）合同签订后，采购人按照合同约定支付全款。</w:t>
      </w:r>
    </w:p>
    <w:p>
      <w:pPr>
        <w:pStyle w:val="4"/>
        <w:widowControl w:val="0"/>
        <w:wordWrap/>
        <w:snapToGrid/>
        <w:spacing w:line="360" w:lineRule="auto"/>
        <w:textAlignment w:val="auto"/>
        <w:rPr>
          <w:rFonts w:hint="eastAsia" w:ascii="方正仿宋_GBK" w:hAnsi="方正仿宋_GBK" w:eastAsia="方正仿宋_GBK" w:cs="方正仿宋_GBK"/>
          <w:color w:val="000000"/>
        </w:rPr>
      </w:pPr>
      <w:bookmarkStart w:id="41" w:name="_Toc344475123"/>
      <w:bookmarkStart w:id="42" w:name="_Toc4509"/>
      <w:r>
        <w:rPr>
          <w:rFonts w:hint="eastAsia" w:ascii="方正仿宋_GBK" w:hAnsi="方正仿宋_GBK" w:eastAsia="方正仿宋_GBK" w:cs="方正仿宋_GBK"/>
          <w:color w:val="000000"/>
        </w:rPr>
        <w:t>五、知识产权</w:t>
      </w:r>
      <w:bookmarkEnd w:id="41"/>
      <w:bookmarkEnd w:id="42"/>
    </w:p>
    <w:p>
      <w:pPr>
        <w:widowControl w:val="0"/>
        <w:wordWrap/>
        <w:snapToGrid/>
        <w:spacing w:line="360" w:lineRule="auto"/>
        <w:ind w:firstLine="540"/>
        <w:textAlignment w:val="auto"/>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szCs w:val="24"/>
        </w:rPr>
        <w:t>采购人在中华人民共和国境内使用成交服务商提供的货物及服务时免受第三方提出的侵犯其专利权或其它知识产权的起诉。如果第三方提出侵权指控，成交服务商应承担由此而引起的一切法律责任和费用。</w:t>
      </w:r>
    </w:p>
    <w:p>
      <w:pPr>
        <w:pStyle w:val="4"/>
        <w:widowControl w:val="0"/>
        <w:wordWrap/>
        <w:snapToGrid/>
        <w:spacing w:line="360" w:lineRule="auto"/>
        <w:textAlignment w:val="auto"/>
        <w:rPr>
          <w:rFonts w:hint="eastAsia" w:ascii="方正仿宋_GBK" w:hAnsi="方正仿宋_GBK" w:eastAsia="方正仿宋_GBK" w:cs="方正仿宋_GBK"/>
          <w:color w:val="000000"/>
        </w:rPr>
      </w:pPr>
      <w:bookmarkStart w:id="43" w:name="_Toc344475124"/>
      <w:bookmarkStart w:id="44" w:name="_Toc13052"/>
      <w:r>
        <w:rPr>
          <w:rFonts w:hint="eastAsia" w:ascii="方正仿宋_GBK" w:hAnsi="方正仿宋_GBK" w:eastAsia="方正仿宋_GBK" w:cs="方正仿宋_GBK"/>
          <w:color w:val="000000"/>
        </w:rPr>
        <w:t>六、</w:t>
      </w:r>
      <w:bookmarkStart w:id="45" w:name="_Toc344475125"/>
      <w:bookmarkEnd w:id="43"/>
      <w:r>
        <w:rPr>
          <w:rFonts w:hint="eastAsia" w:ascii="方正仿宋_GBK" w:hAnsi="方正仿宋_GBK" w:eastAsia="方正仿宋_GBK" w:cs="方正仿宋_GBK"/>
          <w:color w:val="000000"/>
        </w:rPr>
        <w:t>其他</w:t>
      </w:r>
      <w:bookmarkEnd w:id="44"/>
    </w:p>
    <w:bookmarkEnd w:id="45"/>
    <w:p>
      <w:pPr>
        <w:widowControl w:val="0"/>
        <w:wordWrap/>
        <w:snapToGrid/>
        <w:spacing w:line="360" w:lineRule="auto"/>
        <w:ind w:firstLine="540"/>
        <w:textAlignment w:val="auto"/>
        <w:rPr>
          <w:rFonts w:hint="eastAsia" w:ascii="方正仿宋_GBK" w:hAnsi="方正仿宋_GBK" w:eastAsia="方正仿宋_GBK" w:cs="方正仿宋_GBK"/>
          <w:color w:val="000000"/>
        </w:rPr>
      </w:pPr>
      <w:bookmarkStart w:id="46" w:name="_Toc4352246"/>
      <w:bookmarkStart w:id="47" w:name="_Toc4354771"/>
      <w:r>
        <w:rPr>
          <w:rFonts w:hint="eastAsia" w:ascii="方正仿宋_GBK" w:hAnsi="方正仿宋_GBK" w:eastAsia="方正仿宋_GBK" w:cs="方正仿宋_GBK"/>
          <w:color w:val="000000"/>
          <w:sz w:val="24"/>
        </w:rPr>
        <w:t>（一）供应商必须在响应文件中对以上条款和服务承诺明确列出，承诺内容必须达到本篇及竞争性磋商文件其他条款的要求。</w:t>
      </w:r>
      <w:bookmarkEnd w:id="46"/>
      <w:bookmarkEnd w:id="47"/>
      <w:bookmarkStart w:id="48" w:name="_Toc4352248"/>
      <w:bookmarkStart w:id="49" w:name="_Toc4354773"/>
    </w:p>
    <w:p>
      <w:pPr>
        <w:widowControl w:val="0"/>
        <w:wordWrap/>
        <w:snapToGrid/>
        <w:spacing w:line="360" w:lineRule="auto"/>
        <w:ind w:firstLine="480" w:firstLineChars="200"/>
        <w:textAlignment w:val="auto"/>
        <w:rPr>
          <w:rFonts w:hint="eastAsia"/>
          <w:color w:val="000000"/>
        </w:rPr>
      </w:pPr>
      <w:r>
        <w:rPr>
          <w:rFonts w:hint="eastAsia" w:ascii="方正仿宋_GBK" w:hAnsi="方正仿宋_GBK" w:eastAsia="方正仿宋_GBK" w:cs="方正仿宋_GBK"/>
          <w:color w:val="000000"/>
        </w:rPr>
        <w:t>（</w:t>
      </w:r>
      <w:r>
        <w:rPr>
          <w:rFonts w:hint="eastAsia" w:ascii="方正仿宋_GBK" w:hAnsi="方正仿宋_GBK" w:eastAsia="方正仿宋_GBK" w:cs="方正仿宋_GBK"/>
          <w:color w:val="000000"/>
          <w:lang w:val="en-US" w:eastAsia="zh-CN"/>
        </w:rPr>
        <w:t>二</w:t>
      </w:r>
      <w:r>
        <w:rPr>
          <w:rFonts w:hint="eastAsia" w:ascii="方正仿宋_GBK" w:hAnsi="方正仿宋_GBK" w:eastAsia="方正仿宋_GBK" w:cs="方正仿宋_GBK"/>
          <w:color w:val="000000"/>
        </w:rPr>
        <w:t>）其他未尽事宜由供需双方在采购合同中详细约定。</w:t>
      </w:r>
      <w:bookmarkEnd w:id="48"/>
      <w:bookmarkEnd w:id="49"/>
    </w:p>
    <w:p>
      <w:pPr>
        <w:pStyle w:val="3"/>
        <w:wordWrap/>
        <w:spacing w:line="360" w:lineRule="auto"/>
        <w:textAlignment w:val="auto"/>
        <w:rPr>
          <w:rFonts w:hint="eastAsia"/>
          <w:b/>
          <w:color w:val="000000"/>
        </w:rPr>
      </w:pPr>
      <w:r>
        <w:rPr>
          <w:rFonts w:hint="eastAsia"/>
          <w:color w:val="000000"/>
          <w:sz w:val="24"/>
          <w:szCs w:val="24"/>
        </w:rPr>
        <w:br w:type="page"/>
      </w:r>
      <w:bookmarkStart w:id="50" w:name="_Toc4352249"/>
      <w:bookmarkStart w:id="51" w:name="_Toc4354774"/>
      <w:bookmarkStart w:id="52" w:name="_Toc27086"/>
      <w:bookmarkStart w:id="53" w:name="_Toc6181"/>
      <w:r>
        <w:rPr>
          <w:rFonts w:hint="eastAsia"/>
          <w:b/>
          <w:color w:val="000000"/>
        </w:rPr>
        <w:t>第四篇  磋商程序及方法、评审标准、无效响应和采购终止</w:t>
      </w:r>
      <w:bookmarkEnd w:id="50"/>
      <w:bookmarkEnd w:id="51"/>
      <w:bookmarkEnd w:id="52"/>
      <w:bookmarkEnd w:id="53"/>
    </w:p>
    <w:p>
      <w:pPr>
        <w:pStyle w:val="4"/>
        <w:wordWrap/>
        <w:spacing w:line="360" w:lineRule="auto"/>
        <w:textAlignment w:val="auto"/>
        <w:rPr>
          <w:rFonts w:hint="eastAsia"/>
          <w:color w:val="000000"/>
        </w:rPr>
      </w:pPr>
      <w:bookmarkStart w:id="54" w:name="_Toc12789"/>
      <w:r>
        <w:rPr>
          <w:rFonts w:hint="eastAsia"/>
          <w:color w:val="000000"/>
        </w:rPr>
        <w:t>一、磋商程序及方法</w:t>
      </w:r>
      <w:bookmarkEnd w:id="54"/>
    </w:p>
    <w:p>
      <w:pPr>
        <w:wordWrap/>
        <w:snapToGrid w:val="0"/>
        <w:spacing w:line="360" w:lineRule="auto"/>
        <w:ind w:firstLine="480" w:firstLineChars="200"/>
        <w:textAlignment w:val="auto"/>
        <w:outlineLvl w:val="0"/>
        <w:rPr>
          <w:rFonts w:hint="eastAsia" w:ascii="仿宋" w:hAnsi="仿宋" w:eastAsia="仿宋" w:cs="仿宋"/>
          <w:color w:val="000000"/>
          <w:szCs w:val="24"/>
        </w:rPr>
      </w:pPr>
      <w:bookmarkStart w:id="55" w:name="_Toc10197"/>
      <w:bookmarkStart w:id="56" w:name="_Toc31178"/>
      <w:r>
        <w:rPr>
          <w:rFonts w:hint="eastAsia" w:ascii="仿宋" w:hAnsi="仿宋" w:eastAsia="仿宋" w:cs="仿宋"/>
          <w:color w:val="000000"/>
          <w:szCs w:val="24"/>
        </w:rPr>
        <w:t>（一）磋商按竞争性磋商文件规定的时间和地点进行，服务商须有法定代表人或其授权代表参加并签到。竞争性磋商以抽签的形式确定磋商顺序，由本项目依法组建的磋商小组分别与各服务商进行磋商。</w:t>
      </w:r>
      <w:bookmarkEnd w:id="55"/>
      <w:bookmarkEnd w:id="56"/>
    </w:p>
    <w:p>
      <w:pPr>
        <w:wordWrap/>
        <w:snapToGrid w:val="0"/>
        <w:spacing w:line="360" w:lineRule="auto"/>
        <w:ind w:firstLine="480" w:firstLineChars="200"/>
        <w:textAlignment w:val="auto"/>
        <w:outlineLvl w:val="0"/>
        <w:rPr>
          <w:rFonts w:hint="eastAsia" w:ascii="仿宋" w:hAnsi="仿宋" w:eastAsia="仿宋" w:cs="仿宋"/>
          <w:color w:val="000000"/>
          <w:szCs w:val="24"/>
        </w:rPr>
      </w:pPr>
      <w:bookmarkStart w:id="57" w:name="_Toc22464"/>
      <w:bookmarkStart w:id="58" w:name="_Toc19384"/>
      <w:r>
        <w:rPr>
          <w:rFonts w:hint="eastAsia" w:ascii="仿宋" w:hAnsi="仿宋" w:eastAsia="仿宋" w:cs="仿宋"/>
          <w:color w:val="000000"/>
          <w:szCs w:val="24"/>
        </w:rPr>
        <w:t>（二）磋商小组对各服务商的资格性、符合性进行审查。各服务商只有在完全符合要求的前提下，才能参与正式磋商。</w:t>
      </w:r>
      <w:bookmarkEnd w:id="57"/>
      <w:bookmarkEnd w:id="58"/>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1、资格性检查。依据法律法规和竞争性磋商文件的规定，对响应文件中的资格证明等进行审查，以确定服务商是否具备磋商资格。资格性检查资料表如下：</w:t>
      </w:r>
    </w:p>
    <w:tbl>
      <w:tblPr>
        <w:tblStyle w:val="65"/>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76" w:type="dxa"/>
            <w:vAlign w:val="center"/>
          </w:tcPr>
          <w:p>
            <w:pPr>
              <w:wordWrap/>
              <w:spacing w:line="360" w:lineRule="auto"/>
              <w:jc w:val="center"/>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5388" w:type="dxa"/>
            <w:gridSpan w:val="2"/>
            <w:vAlign w:val="center"/>
          </w:tcPr>
          <w:p>
            <w:pPr>
              <w:wordWrap/>
              <w:spacing w:line="360" w:lineRule="auto"/>
              <w:jc w:val="center"/>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检查因素</w:t>
            </w:r>
          </w:p>
        </w:tc>
        <w:tc>
          <w:tcPr>
            <w:tcW w:w="3564" w:type="dxa"/>
            <w:vAlign w:val="center"/>
          </w:tcPr>
          <w:p>
            <w:pPr>
              <w:wordWrap/>
              <w:spacing w:line="360" w:lineRule="auto"/>
              <w:jc w:val="center"/>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676" w:type="dxa"/>
            <w:vMerge w:val="restart"/>
            <w:vAlign w:val="center"/>
          </w:tcPr>
          <w:p>
            <w:pPr>
              <w:wordWrap/>
              <w:spacing w:line="36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709" w:type="dxa"/>
            <w:vMerge w:val="restart"/>
            <w:vAlign w:val="center"/>
          </w:tcPr>
          <w:p>
            <w:pPr>
              <w:wordWrap/>
              <w:spacing w:line="360" w:lineRule="auto"/>
              <w:textAlignment w:val="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服务商</w:t>
            </w:r>
            <w:r>
              <w:rPr>
                <w:rFonts w:hint="eastAsia" w:ascii="仿宋" w:hAnsi="仿宋" w:eastAsia="仿宋" w:cs="仿宋"/>
                <w:color w:val="000000"/>
                <w:sz w:val="21"/>
                <w:szCs w:val="21"/>
                <w:lang w:val="zh-CN"/>
              </w:rPr>
              <w:t>应符合的基本资格条件</w:t>
            </w:r>
          </w:p>
        </w:tc>
        <w:tc>
          <w:tcPr>
            <w:tcW w:w="4679" w:type="dxa"/>
            <w:vAlign w:val="center"/>
          </w:tcPr>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（1）具有独立承担民事责任的能力</w:t>
            </w:r>
          </w:p>
        </w:tc>
        <w:tc>
          <w:tcPr>
            <w:tcW w:w="3564" w:type="dxa"/>
            <w:vAlign w:val="center"/>
          </w:tcPr>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服务商营业执照（副本）或事业单位法人证书（副本）、组织机构代码证复印件（注</w:t>
            </w:r>
            <w:r>
              <w:rPr>
                <w:rFonts w:hint="eastAsia" w:ascii="仿宋" w:hAnsi="仿宋" w:eastAsia="仿宋" w:cs="仿宋"/>
                <w:color w:val="000000"/>
                <w:kern w:val="0"/>
                <w:szCs w:val="24"/>
              </w:rPr>
              <w:fldChar w:fldCharType="begin"/>
            </w:r>
            <w:r>
              <w:rPr>
                <w:rFonts w:hint="eastAsia" w:ascii="仿宋" w:hAnsi="仿宋" w:eastAsia="仿宋" w:cs="仿宋"/>
                <w:color w:val="000000"/>
                <w:kern w:val="0"/>
                <w:szCs w:val="24"/>
              </w:rPr>
              <w:instrText xml:space="preserve"> eq \o\ac(○,</w:instrText>
            </w:r>
            <w:r>
              <w:rPr>
                <w:rFonts w:hint="eastAsia" w:ascii="仿宋" w:hAnsi="仿宋" w:eastAsia="仿宋" w:cs="仿宋"/>
                <w:color w:val="000000"/>
                <w:kern w:val="0"/>
                <w:position w:val="3"/>
                <w:sz w:val="16"/>
                <w:szCs w:val="24"/>
              </w:rPr>
              <w:instrText xml:space="preserve">1</w:instrText>
            </w:r>
            <w:r>
              <w:rPr>
                <w:rFonts w:hint="eastAsia" w:ascii="仿宋" w:hAnsi="仿宋" w:eastAsia="仿宋" w:cs="仿宋"/>
                <w:color w:val="000000"/>
                <w:kern w:val="0"/>
                <w:szCs w:val="24"/>
              </w:rPr>
              <w:instrText xml:space="preserve">)</w:instrText>
            </w:r>
            <w:r>
              <w:rPr>
                <w:rFonts w:hint="eastAsia" w:ascii="仿宋" w:hAnsi="仿宋" w:eastAsia="仿宋" w:cs="仿宋"/>
                <w:color w:val="000000"/>
                <w:kern w:val="0"/>
                <w:szCs w:val="24"/>
              </w:rPr>
              <w:fldChar w:fldCharType="end"/>
            </w:r>
            <w:r>
              <w:rPr>
                <w:rFonts w:hint="eastAsia" w:ascii="仿宋" w:hAnsi="仿宋" w:eastAsia="仿宋" w:cs="仿宋"/>
                <w:color w:val="000000"/>
                <w:sz w:val="21"/>
                <w:szCs w:val="21"/>
              </w:rPr>
              <w:t xml:space="preserve">）； </w:t>
            </w:r>
          </w:p>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服务商法定代表人身份证明和法定代表人授权代表委托书。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76" w:type="dxa"/>
            <w:vMerge w:val="continue"/>
            <w:vAlign w:val="center"/>
          </w:tcPr>
          <w:p>
            <w:pPr>
              <w:wordWrap/>
              <w:spacing w:line="360" w:lineRule="auto"/>
              <w:jc w:val="center"/>
              <w:textAlignment w:val="auto"/>
              <w:rPr>
                <w:rFonts w:hint="eastAsia" w:ascii="仿宋" w:hAnsi="仿宋" w:eastAsia="仿宋" w:cs="仿宋"/>
                <w:color w:val="000000"/>
                <w:sz w:val="21"/>
                <w:szCs w:val="21"/>
              </w:rPr>
            </w:pPr>
          </w:p>
        </w:tc>
        <w:tc>
          <w:tcPr>
            <w:tcW w:w="709" w:type="dxa"/>
            <w:vMerge w:val="continue"/>
            <w:vAlign w:val="center"/>
          </w:tcPr>
          <w:p>
            <w:pPr>
              <w:wordWrap/>
              <w:spacing w:line="360" w:lineRule="auto"/>
              <w:textAlignment w:val="auto"/>
              <w:rPr>
                <w:rFonts w:hint="eastAsia" w:ascii="仿宋" w:hAnsi="仿宋" w:eastAsia="仿宋" w:cs="仿宋"/>
                <w:color w:val="000000"/>
                <w:sz w:val="21"/>
                <w:szCs w:val="21"/>
                <w:lang w:val="zh-CN"/>
              </w:rPr>
            </w:pPr>
          </w:p>
        </w:tc>
        <w:tc>
          <w:tcPr>
            <w:tcW w:w="4679" w:type="dxa"/>
            <w:vAlign w:val="center"/>
          </w:tcPr>
          <w:p>
            <w:pPr>
              <w:wordWrap/>
              <w:spacing w:line="360" w:lineRule="auto"/>
              <w:textAlignment w:val="auto"/>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w:t>
            </w:r>
            <w:r>
              <w:rPr>
                <w:rFonts w:ascii="仿宋" w:hAnsi="仿宋" w:eastAsia="仿宋" w:cs="仿宋"/>
                <w:color w:val="000000"/>
                <w:sz w:val="21"/>
                <w:szCs w:val="21"/>
                <w:lang w:val="zh-CN"/>
              </w:rPr>
              <w:t>2</w:t>
            </w:r>
            <w:r>
              <w:rPr>
                <w:rFonts w:hint="eastAsia" w:ascii="仿宋" w:hAnsi="仿宋" w:eastAsia="仿宋" w:cs="仿宋"/>
                <w:color w:val="000000"/>
                <w:sz w:val="21"/>
                <w:szCs w:val="21"/>
                <w:lang w:val="zh-CN"/>
              </w:rPr>
              <w:t>）具有履行合同所必需的</w:t>
            </w:r>
            <w:r>
              <w:rPr>
                <w:rFonts w:hint="eastAsia" w:ascii="仿宋" w:hAnsi="仿宋" w:cs="仿宋"/>
                <w:color w:val="000000"/>
                <w:sz w:val="21"/>
                <w:szCs w:val="21"/>
                <w:lang w:val="en-US" w:eastAsia="zh-CN"/>
              </w:rPr>
              <w:t>法律服务能</w:t>
            </w:r>
            <w:r>
              <w:rPr>
                <w:rFonts w:hint="eastAsia" w:ascii="仿宋" w:hAnsi="仿宋" w:eastAsia="仿宋" w:cs="仿宋"/>
                <w:color w:val="000000"/>
                <w:sz w:val="21"/>
                <w:szCs w:val="21"/>
                <w:lang w:val="zh-CN"/>
              </w:rPr>
              <w:t>力</w:t>
            </w:r>
          </w:p>
        </w:tc>
        <w:tc>
          <w:tcPr>
            <w:tcW w:w="3564" w:type="dxa"/>
            <w:vAlign w:val="center"/>
          </w:tcPr>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服务商提供书面声明（见格式文件）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trPr>
        <w:tc>
          <w:tcPr>
            <w:tcW w:w="676" w:type="dxa"/>
            <w:vMerge w:val="continue"/>
            <w:vAlign w:val="center"/>
          </w:tcPr>
          <w:p>
            <w:pPr>
              <w:wordWrap/>
              <w:spacing w:line="360" w:lineRule="auto"/>
              <w:jc w:val="center"/>
              <w:textAlignment w:val="auto"/>
              <w:rPr>
                <w:rFonts w:hint="eastAsia" w:ascii="仿宋" w:hAnsi="仿宋" w:eastAsia="仿宋" w:cs="仿宋"/>
                <w:color w:val="000000"/>
                <w:sz w:val="21"/>
                <w:szCs w:val="21"/>
              </w:rPr>
            </w:pPr>
          </w:p>
        </w:tc>
        <w:tc>
          <w:tcPr>
            <w:tcW w:w="709" w:type="dxa"/>
            <w:vMerge w:val="continue"/>
            <w:vAlign w:val="center"/>
          </w:tcPr>
          <w:p>
            <w:pPr>
              <w:wordWrap/>
              <w:spacing w:line="360" w:lineRule="auto"/>
              <w:textAlignment w:val="auto"/>
              <w:rPr>
                <w:rFonts w:hint="eastAsia" w:ascii="仿宋" w:hAnsi="仿宋" w:eastAsia="仿宋" w:cs="仿宋"/>
                <w:color w:val="000000"/>
                <w:sz w:val="21"/>
                <w:szCs w:val="21"/>
                <w:lang w:val="zh-CN"/>
              </w:rPr>
            </w:pPr>
          </w:p>
        </w:tc>
        <w:tc>
          <w:tcPr>
            <w:tcW w:w="4679" w:type="dxa"/>
            <w:vAlign w:val="center"/>
          </w:tcPr>
          <w:p>
            <w:pPr>
              <w:wordWrap/>
              <w:spacing w:line="360" w:lineRule="auto"/>
              <w:textAlignment w:val="auto"/>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w:t>
            </w:r>
            <w:r>
              <w:rPr>
                <w:rFonts w:ascii="仿宋" w:hAnsi="仿宋" w:eastAsia="仿宋" w:cs="仿宋"/>
                <w:color w:val="000000"/>
                <w:sz w:val="21"/>
                <w:szCs w:val="21"/>
                <w:lang w:val="zh-CN"/>
              </w:rPr>
              <w:t>3</w:t>
            </w:r>
            <w:r>
              <w:rPr>
                <w:rFonts w:hint="eastAsia" w:ascii="仿宋" w:hAnsi="仿宋" w:eastAsia="仿宋" w:cs="仿宋"/>
                <w:color w:val="000000"/>
                <w:sz w:val="21"/>
                <w:szCs w:val="21"/>
                <w:lang w:val="zh-CN"/>
              </w:rPr>
              <w:t>）有依法缴纳税收的良好记录</w:t>
            </w:r>
          </w:p>
        </w:tc>
        <w:tc>
          <w:tcPr>
            <w:tcW w:w="3564" w:type="dxa"/>
            <w:vAlign w:val="center"/>
          </w:tcPr>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税务登记证（副本）复印件（注</w:t>
            </w:r>
            <w:r>
              <w:rPr>
                <w:rFonts w:hint="eastAsia" w:ascii="仿宋" w:hAnsi="仿宋" w:eastAsia="仿宋" w:cs="仿宋"/>
                <w:color w:val="000000"/>
                <w:kern w:val="0"/>
                <w:szCs w:val="24"/>
              </w:rPr>
              <w:fldChar w:fldCharType="begin"/>
            </w:r>
            <w:r>
              <w:rPr>
                <w:rFonts w:hint="eastAsia" w:ascii="仿宋" w:hAnsi="仿宋" w:eastAsia="仿宋" w:cs="仿宋"/>
                <w:color w:val="000000"/>
                <w:kern w:val="0"/>
                <w:szCs w:val="24"/>
              </w:rPr>
              <w:instrText xml:space="preserve"> eq \o\ac(○,</w:instrText>
            </w:r>
            <w:r>
              <w:rPr>
                <w:rFonts w:hint="eastAsia" w:ascii="仿宋" w:hAnsi="仿宋" w:eastAsia="仿宋" w:cs="仿宋"/>
                <w:color w:val="000000"/>
                <w:kern w:val="0"/>
                <w:position w:val="3"/>
                <w:sz w:val="16"/>
                <w:szCs w:val="24"/>
              </w:rPr>
              <w:instrText xml:space="preserve">1</w:instrText>
            </w:r>
            <w:r>
              <w:rPr>
                <w:rFonts w:hint="eastAsia" w:ascii="仿宋" w:hAnsi="仿宋" w:eastAsia="仿宋" w:cs="仿宋"/>
                <w:color w:val="000000"/>
                <w:kern w:val="0"/>
                <w:szCs w:val="24"/>
              </w:rPr>
              <w:instrText xml:space="preserve">)</w:instrText>
            </w:r>
            <w:r>
              <w:rPr>
                <w:rFonts w:hint="eastAsia" w:ascii="仿宋" w:hAnsi="仿宋" w:eastAsia="仿宋" w:cs="仿宋"/>
                <w:color w:val="000000"/>
                <w:kern w:val="0"/>
                <w:szCs w:val="24"/>
              </w:rPr>
              <w:fldChar w:fldCharType="end"/>
            </w:r>
            <w:r>
              <w:rPr>
                <w:rFonts w:hint="eastAsia" w:ascii="仿宋" w:hAnsi="仿宋" w:eastAsia="仿宋" w:cs="仿宋"/>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5" w:hRule="atLeast"/>
        </w:trPr>
        <w:tc>
          <w:tcPr>
            <w:tcW w:w="676" w:type="dxa"/>
            <w:vMerge w:val="continue"/>
            <w:vAlign w:val="center"/>
          </w:tcPr>
          <w:p>
            <w:pPr>
              <w:wordWrap/>
              <w:spacing w:line="360" w:lineRule="auto"/>
              <w:jc w:val="center"/>
              <w:textAlignment w:val="auto"/>
              <w:rPr>
                <w:rFonts w:hint="eastAsia" w:ascii="仿宋" w:hAnsi="仿宋" w:eastAsia="仿宋" w:cs="仿宋"/>
                <w:color w:val="000000"/>
                <w:sz w:val="21"/>
                <w:szCs w:val="21"/>
              </w:rPr>
            </w:pPr>
          </w:p>
        </w:tc>
        <w:tc>
          <w:tcPr>
            <w:tcW w:w="709" w:type="dxa"/>
            <w:vMerge w:val="continue"/>
            <w:vAlign w:val="center"/>
          </w:tcPr>
          <w:p>
            <w:pPr>
              <w:wordWrap/>
              <w:spacing w:line="360" w:lineRule="auto"/>
              <w:textAlignment w:val="auto"/>
              <w:rPr>
                <w:rFonts w:hint="eastAsia" w:ascii="仿宋" w:hAnsi="仿宋" w:eastAsia="仿宋" w:cs="仿宋"/>
                <w:color w:val="000000"/>
                <w:sz w:val="21"/>
                <w:szCs w:val="21"/>
                <w:lang w:val="zh-CN"/>
              </w:rPr>
            </w:pPr>
          </w:p>
        </w:tc>
        <w:tc>
          <w:tcPr>
            <w:tcW w:w="4679" w:type="dxa"/>
            <w:vAlign w:val="center"/>
          </w:tcPr>
          <w:p>
            <w:pPr>
              <w:wordWrap/>
              <w:spacing w:line="360" w:lineRule="auto"/>
              <w:textAlignment w:val="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w:t>
            </w:r>
            <w:r>
              <w:rPr>
                <w:rFonts w:ascii="仿宋" w:hAnsi="仿宋" w:eastAsia="仿宋" w:cs="仿宋"/>
                <w:color w:val="000000"/>
                <w:sz w:val="21"/>
                <w:szCs w:val="21"/>
              </w:rPr>
              <w:t>4</w:t>
            </w:r>
            <w:r>
              <w:rPr>
                <w:rFonts w:hint="eastAsia" w:ascii="仿宋" w:hAnsi="仿宋" w:eastAsia="仿宋" w:cs="仿宋"/>
                <w:color w:val="000000"/>
                <w:sz w:val="21"/>
                <w:szCs w:val="21"/>
              </w:rPr>
              <w:t>）参加政府采购活动前三年内，在经营活动中没有重大违法记录</w:t>
            </w:r>
          </w:p>
        </w:tc>
        <w:tc>
          <w:tcPr>
            <w:tcW w:w="3564" w:type="dxa"/>
            <w:vAlign w:val="center"/>
          </w:tcPr>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服务商提供书面声明、信用中国网站（www.creditchina.gov.cn）及中国政府采购网（www.ccgp.gov.cn）查询结果，包括：</w:t>
            </w:r>
          </w:p>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1、信用中国网站“信用信息”：包括“失信被执行人”及“重大税收违法案件当事人名单”查询结果；</w:t>
            </w:r>
          </w:p>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2、信用中国网站“行政处罚”查询处罚结果；</w:t>
            </w:r>
          </w:p>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3、中国政府采购网“政府采购严重违法失信行为记录名单”查询结果。</w:t>
            </w:r>
          </w:p>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注：以上查询时间为本项目采购公告发布之日起至投标截止时间前。网页打印件应显示查询时间；若网页打印件未显示查询时间，服务商应自行标注查询时间。若在信用中国网站（www.creditchina.gov.cn）及中国政府采购网（www.ccgp.gov.cn）上查询后无结果，可不打印上述网页截图，以采购人、查实甄别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676" w:type="dxa"/>
            <w:vMerge w:val="continue"/>
            <w:vAlign w:val="center"/>
          </w:tcPr>
          <w:p>
            <w:pPr>
              <w:wordWrap/>
              <w:spacing w:line="360" w:lineRule="auto"/>
              <w:jc w:val="center"/>
              <w:textAlignment w:val="auto"/>
              <w:rPr>
                <w:rFonts w:hint="eastAsia" w:ascii="仿宋" w:hAnsi="仿宋" w:eastAsia="仿宋" w:cs="仿宋"/>
                <w:color w:val="000000"/>
                <w:sz w:val="21"/>
                <w:szCs w:val="21"/>
              </w:rPr>
            </w:pPr>
          </w:p>
        </w:tc>
        <w:tc>
          <w:tcPr>
            <w:tcW w:w="709" w:type="dxa"/>
            <w:vMerge w:val="continue"/>
            <w:vAlign w:val="center"/>
          </w:tcPr>
          <w:p>
            <w:pPr>
              <w:wordWrap/>
              <w:spacing w:line="360" w:lineRule="auto"/>
              <w:textAlignment w:val="auto"/>
              <w:rPr>
                <w:rFonts w:hint="eastAsia" w:ascii="仿宋" w:hAnsi="仿宋" w:eastAsia="仿宋" w:cs="仿宋"/>
                <w:color w:val="000000"/>
                <w:sz w:val="21"/>
                <w:szCs w:val="21"/>
                <w:lang w:val="zh-CN"/>
              </w:rPr>
            </w:pPr>
          </w:p>
        </w:tc>
        <w:tc>
          <w:tcPr>
            <w:tcW w:w="4679" w:type="dxa"/>
            <w:vAlign w:val="center"/>
          </w:tcPr>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ascii="仿宋" w:hAnsi="仿宋" w:eastAsia="仿宋" w:cs="仿宋"/>
                <w:color w:val="000000"/>
                <w:sz w:val="21"/>
                <w:szCs w:val="21"/>
              </w:rPr>
              <w:t>5</w:t>
            </w:r>
            <w:r>
              <w:rPr>
                <w:rFonts w:hint="eastAsia" w:ascii="仿宋" w:hAnsi="仿宋" w:eastAsia="仿宋" w:cs="仿宋"/>
                <w:color w:val="000000"/>
                <w:sz w:val="21"/>
                <w:szCs w:val="21"/>
              </w:rPr>
              <w:t>）法律、行政法规规定的其他条件</w:t>
            </w:r>
          </w:p>
        </w:tc>
        <w:tc>
          <w:tcPr>
            <w:tcW w:w="3564" w:type="dxa"/>
            <w:vAlign w:val="center"/>
          </w:tcPr>
          <w:p>
            <w:pPr>
              <w:wordWrap/>
              <w:spacing w:line="360" w:lineRule="auto"/>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676" w:type="dxa"/>
            <w:vAlign w:val="center"/>
          </w:tcPr>
          <w:p>
            <w:pPr>
              <w:wordWrap/>
              <w:spacing w:line="36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5388" w:type="dxa"/>
            <w:gridSpan w:val="2"/>
            <w:vAlign w:val="center"/>
          </w:tcPr>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特定资格条件</w:t>
            </w:r>
          </w:p>
        </w:tc>
        <w:tc>
          <w:tcPr>
            <w:tcW w:w="3564" w:type="dxa"/>
            <w:vAlign w:val="center"/>
          </w:tcPr>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证明材料的复印件</w:t>
            </w:r>
          </w:p>
        </w:tc>
      </w:tr>
    </w:tbl>
    <w:p>
      <w:pPr>
        <w:wordWrap/>
        <w:snapToGrid w:val="0"/>
        <w:spacing w:line="360" w:lineRule="auto"/>
        <w:ind w:firstLine="480" w:firstLineChars="200"/>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fldChar w:fldCharType="begin"/>
      </w:r>
      <w:r>
        <w:rPr>
          <w:rFonts w:hint="eastAsia" w:ascii="仿宋" w:hAnsi="仿宋" w:eastAsia="仿宋" w:cs="仿宋"/>
          <w:color w:val="000000"/>
          <w:szCs w:val="24"/>
        </w:rPr>
        <w:instrText xml:space="preserve"> eq \o\ac(○,1)</w:instrText>
      </w:r>
      <w:r>
        <w:rPr>
          <w:rFonts w:hint="eastAsia" w:ascii="仿宋" w:hAnsi="仿宋" w:eastAsia="仿宋" w:cs="仿宋"/>
          <w:color w:val="000000"/>
          <w:szCs w:val="24"/>
        </w:rPr>
        <w:fldChar w:fldCharType="end"/>
      </w:r>
      <w:r>
        <w:rPr>
          <w:rFonts w:hint="eastAsia" w:ascii="仿宋" w:hAnsi="仿宋" w:eastAsia="仿宋" w:cs="仿宋"/>
          <w:color w:val="000000"/>
          <w:szCs w:val="24"/>
        </w:rPr>
        <w:t>服务商按“五证合一”登记制度办理营业执照的，组织机构代码证、税务登记证（副本）和社会保险登记证以服务商所提供的营业执照（副本）复印件为准。</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5"/>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wordWrap/>
              <w:spacing w:line="360" w:lineRule="auto"/>
              <w:jc w:val="center"/>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序号</w:t>
            </w:r>
          </w:p>
        </w:tc>
        <w:tc>
          <w:tcPr>
            <w:tcW w:w="3544" w:type="dxa"/>
            <w:gridSpan w:val="2"/>
            <w:vAlign w:val="center"/>
          </w:tcPr>
          <w:p>
            <w:pPr>
              <w:wordWrap/>
              <w:spacing w:line="360" w:lineRule="auto"/>
              <w:jc w:val="center"/>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评审因素</w:t>
            </w:r>
          </w:p>
        </w:tc>
        <w:tc>
          <w:tcPr>
            <w:tcW w:w="5409" w:type="dxa"/>
            <w:vAlign w:val="center"/>
          </w:tcPr>
          <w:p>
            <w:pPr>
              <w:wordWrap/>
              <w:spacing w:line="360" w:lineRule="auto"/>
              <w:jc w:val="center"/>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wordWrap/>
              <w:spacing w:line="360" w:lineRule="auto"/>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560" w:type="dxa"/>
            <w:vMerge w:val="restart"/>
            <w:vAlign w:val="center"/>
          </w:tcPr>
          <w:p>
            <w:pPr>
              <w:wordWrap/>
              <w:spacing w:line="360" w:lineRule="auto"/>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有效性审查</w:t>
            </w:r>
          </w:p>
        </w:tc>
        <w:tc>
          <w:tcPr>
            <w:tcW w:w="1984" w:type="dxa"/>
            <w:vAlign w:val="center"/>
          </w:tcPr>
          <w:p>
            <w:pPr>
              <w:wordWrap/>
              <w:spacing w:line="360" w:lineRule="auto"/>
              <w:textAlignment w:val="auto"/>
              <w:rPr>
                <w:rFonts w:hint="eastAsia" w:ascii="仿宋" w:hAnsi="仿宋" w:eastAsia="仿宋" w:cs="仿宋"/>
                <w:color w:val="000000"/>
                <w:kern w:val="0"/>
                <w:sz w:val="21"/>
                <w:szCs w:val="21"/>
              </w:rPr>
            </w:pPr>
            <w:r>
              <w:rPr>
                <w:rFonts w:hint="eastAsia" w:ascii="仿宋" w:hAnsi="仿宋" w:eastAsia="仿宋" w:cs="仿宋"/>
                <w:color w:val="000000"/>
                <w:sz w:val="21"/>
                <w:szCs w:val="21"/>
              </w:rPr>
              <w:t>响应文件签署</w:t>
            </w:r>
          </w:p>
        </w:tc>
        <w:tc>
          <w:tcPr>
            <w:tcW w:w="5409" w:type="dxa"/>
            <w:vAlign w:val="center"/>
          </w:tcPr>
          <w:p>
            <w:pPr>
              <w:wordWrap/>
              <w:spacing w:line="360" w:lineRule="auto"/>
              <w:textAlignment w:val="auto"/>
              <w:rPr>
                <w:rFonts w:hint="eastAsia" w:ascii="仿宋" w:hAnsi="仿宋" w:eastAsia="仿宋" w:cs="仿宋"/>
                <w:color w:val="000000"/>
                <w:kern w:val="0"/>
                <w:sz w:val="21"/>
                <w:szCs w:val="21"/>
              </w:rPr>
            </w:pPr>
            <w:r>
              <w:rPr>
                <w:rFonts w:hint="eastAsia" w:ascii="仿宋" w:hAnsi="仿宋" w:eastAsia="仿宋" w:cs="仿宋"/>
                <w:color w:val="000000"/>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675" w:type="dxa"/>
            <w:vMerge w:val="continue"/>
            <w:vAlign w:val="center"/>
          </w:tcPr>
          <w:p>
            <w:pPr>
              <w:wordWrap/>
              <w:spacing w:line="360" w:lineRule="auto"/>
              <w:jc w:val="center"/>
              <w:textAlignment w:val="auto"/>
              <w:rPr>
                <w:rFonts w:hint="eastAsia" w:ascii="仿宋" w:hAnsi="仿宋" w:eastAsia="仿宋" w:cs="仿宋"/>
                <w:color w:val="000000"/>
                <w:kern w:val="0"/>
                <w:sz w:val="21"/>
                <w:szCs w:val="21"/>
              </w:rPr>
            </w:pPr>
          </w:p>
        </w:tc>
        <w:tc>
          <w:tcPr>
            <w:tcW w:w="1560" w:type="dxa"/>
            <w:vMerge w:val="continue"/>
            <w:vAlign w:val="center"/>
          </w:tcPr>
          <w:p>
            <w:pPr>
              <w:wordWrap/>
              <w:spacing w:line="360" w:lineRule="auto"/>
              <w:textAlignment w:val="auto"/>
              <w:rPr>
                <w:rFonts w:hint="eastAsia" w:ascii="仿宋" w:hAnsi="仿宋" w:eastAsia="仿宋" w:cs="仿宋"/>
                <w:color w:val="000000"/>
                <w:kern w:val="0"/>
                <w:sz w:val="21"/>
                <w:szCs w:val="21"/>
              </w:rPr>
            </w:pPr>
          </w:p>
        </w:tc>
        <w:tc>
          <w:tcPr>
            <w:tcW w:w="1984" w:type="dxa"/>
            <w:vAlign w:val="center"/>
          </w:tcPr>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法定代表人身份证明及授权委托书</w:t>
            </w:r>
          </w:p>
        </w:tc>
        <w:tc>
          <w:tcPr>
            <w:tcW w:w="5409" w:type="dxa"/>
            <w:vAlign w:val="center"/>
          </w:tcPr>
          <w:p>
            <w:pPr>
              <w:wordWrap/>
              <w:spacing w:line="360" w:lineRule="auto"/>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wordWrap/>
              <w:spacing w:line="360" w:lineRule="auto"/>
              <w:jc w:val="center"/>
              <w:textAlignment w:val="auto"/>
              <w:rPr>
                <w:rFonts w:hint="eastAsia" w:ascii="仿宋" w:hAnsi="仿宋" w:eastAsia="仿宋" w:cs="仿宋"/>
                <w:color w:val="000000"/>
                <w:kern w:val="0"/>
                <w:sz w:val="21"/>
                <w:szCs w:val="21"/>
              </w:rPr>
            </w:pPr>
          </w:p>
        </w:tc>
        <w:tc>
          <w:tcPr>
            <w:tcW w:w="1560" w:type="dxa"/>
            <w:vMerge w:val="continue"/>
            <w:vAlign w:val="center"/>
          </w:tcPr>
          <w:p>
            <w:pPr>
              <w:wordWrap/>
              <w:spacing w:line="360" w:lineRule="auto"/>
              <w:textAlignment w:val="auto"/>
              <w:rPr>
                <w:rFonts w:hint="eastAsia" w:ascii="仿宋" w:hAnsi="仿宋" w:eastAsia="仿宋" w:cs="仿宋"/>
                <w:color w:val="000000"/>
                <w:kern w:val="0"/>
                <w:sz w:val="21"/>
                <w:szCs w:val="21"/>
              </w:rPr>
            </w:pPr>
          </w:p>
        </w:tc>
        <w:tc>
          <w:tcPr>
            <w:tcW w:w="1984" w:type="dxa"/>
            <w:vAlign w:val="center"/>
          </w:tcPr>
          <w:p>
            <w:pPr>
              <w:wordWrap/>
              <w:spacing w:line="360" w:lineRule="auto"/>
              <w:textAlignment w:val="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响应</w:t>
            </w:r>
            <w:r>
              <w:rPr>
                <w:rFonts w:hint="eastAsia" w:ascii="仿宋" w:hAnsi="仿宋" w:eastAsia="仿宋" w:cs="仿宋"/>
                <w:color w:val="000000"/>
                <w:sz w:val="21"/>
                <w:szCs w:val="21"/>
                <w:lang w:val="zh-CN"/>
              </w:rPr>
              <w:t>方案</w:t>
            </w:r>
          </w:p>
        </w:tc>
        <w:tc>
          <w:tcPr>
            <w:tcW w:w="5409" w:type="dxa"/>
            <w:vAlign w:val="center"/>
          </w:tcPr>
          <w:p>
            <w:pPr>
              <w:wordWrap/>
              <w:spacing w:line="360" w:lineRule="auto"/>
              <w:textAlignment w:val="auto"/>
              <w:rPr>
                <w:rFonts w:hint="eastAsia" w:ascii="仿宋" w:hAnsi="仿宋" w:eastAsia="仿宋" w:cs="仿宋"/>
                <w:color w:val="000000"/>
                <w:kern w:val="0"/>
                <w:sz w:val="21"/>
                <w:szCs w:val="21"/>
              </w:rPr>
            </w:pPr>
            <w:r>
              <w:rPr>
                <w:rFonts w:hint="eastAsia" w:ascii="仿宋" w:hAnsi="仿宋" w:eastAsia="仿宋" w:cs="仿宋"/>
                <w:color w:val="000000"/>
                <w:sz w:val="21"/>
                <w:szCs w:val="21"/>
                <w:lang w:val="zh-CN"/>
              </w:rPr>
              <w:t>只能有一个</w:t>
            </w:r>
            <w:r>
              <w:rPr>
                <w:rFonts w:hint="eastAsia" w:ascii="仿宋" w:hAnsi="仿宋" w:eastAsia="仿宋" w:cs="仿宋"/>
                <w:color w:val="000000"/>
                <w:sz w:val="21"/>
                <w:szCs w:val="21"/>
              </w:rPr>
              <w:t>响应</w:t>
            </w:r>
            <w:r>
              <w:rPr>
                <w:rFonts w:hint="eastAsia" w:ascii="仿宋" w:hAnsi="仿宋" w:eastAsia="仿宋" w:cs="仿宋"/>
                <w:color w:val="000000"/>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75" w:type="dxa"/>
            <w:vMerge w:val="continue"/>
            <w:vAlign w:val="center"/>
          </w:tcPr>
          <w:p>
            <w:pPr>
              <w:wordWrap/>
              <w:spacing w:line="360" w:lineRule="auto"/>
              <w:jc w:val="center"/>
              <w:textAlignment w:val="auto"/>
              <w:rPr>
                <w:rFonts w:hint="eastAsia" w:ascii="仿宋" w:hAnsi="仿宋" w:eastAsia="仿宋" w:cs="仿宋"/>
                <w:color w:val="000000"/>
                <w:kern w:val="0"/>
                <w:sz w:val="21"/>
                <w:szCs w:val="21"/>
              </w:rPr>
            </w:pPr>
          </w:p>
        </w:tc>
        <w:tc>
          <w:tcPr>
            <w:tcW w:w="1560" w:type="dxa"/>
            <w:vMerge w:val="continue"/>
            <w:vAlign w:val="center"/>
          </w:tcPr>
          <w:p>
            <w:pPr>
              <w:wordWrap/>
              <w:spacing w:line="360" w:lineRule="auto"/>
              <w:textAlignment w:val="auto"/>
              <w:rPr>
                <w:rFonts w:hint="eastAsia" w:ascii="仿宋" w:hAnsi="仿宋" w:eastAsia="仿宋" w:cs="仿宋"/>
                <w:color w:val="000000"/>
                <w:kern w:val="0"/>
                <w:sz w:val="21"/>
                <w:szCs w:val="21"/>
              </w:rPr>
            </w:pPr>
          </w:p>
        </w:tc>
        <w:tc>
          <w:tcPr>
            <w:tcW w:w="1984" w:type="dxa"/>
            <w:vAlign w:val="center"/>
          </w:tcPr>
          <w:p>
            <w:pPr>
              <w:wordWrap/>
              <w:spacing w:line="360" w:lineRule="auto"/>
              <w:textAlignment w:val="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报价唯一</w:t>
            </w:r>
          </w:p>
        </w:tc>
        <w:tc>
          <w:tcPr>
            <w:tcW w:w="5409" w:type="dxa"/>
            <w:vAlign w:val="center"/>
          </w:tcPr>
          <w:p>
            <w:pPr>
              <w:wordWrap/>
              <w:spacing w:line="360" w:lineRule="auto"/>
              <w:textAlignment w:val="auto"/>
              <w:rPr>
                <w:rFonts w:hint="eastAsia" w:ascii="仿宋" w:hAnsi="仿宋" w:eastAsia="仿宋" w:cs="仿宋"/>
                <w:color w:val="000000"/>
                <w:kern w:val="0"/>
                <w:sz w:val="21"/>
                <w:szCs w:val="21"/>
              </w:rPr>
            </w:pPr>
            <w:r>
              <w:rPr>
                <w:rFonts w:hint="eastAsia" w:ascii="仿宋" w:hAnsi="仿宋" w:eastAsia="仿宋" w:cs="仿宋"/>
                <w:color w:val="000000"/>
                <w:sz w:val="21"/>
                <w:szCs w:val="21"/>
                <w:lang w:val="zh-CN"/>
              </w:rPr>
              <w:t>只能在采购预算范围内报价，</w:t>
            </w:r>
            <w:r>
              <w:rPr>
                <w:rFonts w:hint="eastAsia" w:ascii="仿宋" w:hAnsi="仿宋" w:eastAsia="仿宋" w:cs="仿宋"/>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75" w:type="dxa"/>
            <w:vMerge w:val="restart"/>
            <w:vAlign w:val="center"/>
          </w:tcPr>
          <w:p>
            <w:pPr>
              <w:wordWrap/>
              <w:spacing w:line="360" w:lineRule="auto"/>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560" w:type="dxa"/>
            <w:vMerge w:val="restart"/>
            <w:vAlign w:val="center"/>
          </w:tcPr>
          <w:p>
            <w:pPr>
              <w:wordWrap/>
              <w:spacing w:line="360" w:lineRule="auto"/>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完整性审查</w:t>
            </w:r>
          </w:p>
        </w:tc>
        <w:tc>
          <w:tcPr>
            <w:tcW w:w="1984" w:type="dxa"/>
            <w:vAlign w:val="center"/>
          </w:tcPr>
          <w:p>
            <w:pPr>
              <w:wordWrap/>
              <w:spacing w:line="360" w:lineRule="auto"/>
              <w:textAlignment w:val="auto"/>
              <w:rPr>
                <w:rFonts w:hint="eastAsia" w:ascii="仿宋" w:hAnsi="仿宋" w:eastAsia="仿宋" w:cs="仿宋"/>
                <w:color w:val="000000"/>
                <w:kern w:val="0"/>
                <w:sz w:val="21"/>
                <w:szCs w:val="21"/>
              </w:rPr>
            </w:pPr>
            <w:r>
              <w:rPr>
                <w:rFonts w:hint="eastAsia" w:ascii="仿宋" w:hAnsi="仿宋" w:eastAsia="仿宋" w:cs="仿宋"/>
                <w:color w:val="000000"/>
                <w:sz w:val="21"/>
                <w:szCs w:val="21"/>
              </w:rPr>
              <w:t>响应</w:t>
            </w:r>
            <w:r>
              <w:rPr>
                <w:rFonts w:hint="eastAsia" w:ascii="仿宋" w:hAnsi="仿宋" w:eastAsia="仿宋" w:cs="仿宋"/>
                <w:color w:val="000000"/>
                <w:sz w:val="21"/>
                <w:szCs w:val="21"/>
                <w:lang w:val="zh-CN"/>
              </w:rPr>
              <w:t>文件份数</w:t>
            </w:r>
          </w:p>
        </w:tc>
        <w:tc>
          <w:tcPr>
            <w:tcW w:w="5409" w:type="dxa"/>
            <w:vAlign w:val="center"/>
          </w:tcPr>
          <w:p>
            <w:pPr>
              <w:wordWrap/>
              <w:spacing w:line="360" w:lineRule="auto"/>
              <w:textAlignment w:val="auto"/>
              <w:rPr>
                <w:rFonts w:hint="eastAsia" w:ascii="仿宋" w:hAnsi="仿宋" w:eastAsia="仿宋" w:cs="仿宋"/>
                <w:color w:val="000000"/>
                <w:kern w:val="0"/>
                <w:sz w:val="21"/>
                <w:szCs w:val="21"/>
              </w:rPr>
            </w:pPr>
            <w:r>
              <w:rPr>
                <w:rFonts w:hint="eastAsia" w:ascii="仿宋" w:hAnsi="仿宋" w:eastAsia="仿宋" w:cs="仿宋"/>
                <w:color w:val="000000"/>
                <w:sz w:val="21"/>
                <w:szCs w:val="21"/>
              </w:rPr>
              <w:t>响应</w:t>
            </w:r>
            <w:r>
              <w:rPr>
                <w:rFonts w:hint="eastAsia" w:ascii="仿宋" w:hAnsi="仿宋" w:eastAsia="仿宋" w:cs="仿宋"/>
                <w:color w:val="000000"/>
                <w:sz w:val="21"/>
                <w:szCs w:val="21"/>
                <w:lang w:val="zh-CN"/>
              </w:rPr>
              <w:t>文件正、副本数量（含电子文档）符合</w:t>
            </w:r>
            <w:r>
              <w:rPr>
                <w:rFonts w:hint="eastAsia" w:ascii="仿宋" w:hAnsi="仿宋" w:eastAsia="仿宋" w:cs="仿宋"/>
                <w:color w:val="000000"/>
                <w:sz w:val="21"/>
                <w:szCs w:val="21"/>
              </w:rPr>
              <w:t>竞争性磋商</w:t>
            </w:r>
            <w:r>
              <w:rPr>
                <w:rFonts w:hint="eastAsia" w:ascii="仿宋" w:hAnsi="仿宋" w:eastAsia="仿宋" w:cs="仿宋"/>
                <w:color w:val="000000"/>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wordWrap/>
              <w:spacing w:line="360" w:lineRule="auto"/>
              <w:jc w:val="center"/>
              <w:textAlignment w:val="auto"/>
              <w:rPr>
                <w:rFonts w:hint="eastAsia" w:ascii="仿宋" w:hAnsi="仿宋" w:eastAsia="仿宋" w:cs="仿宋"/>
                <w:color w:val="000000"/>
                <w:kern w:val="0"/>
                <w:sz w:val="21"/>
                <w:szCs w:val="21"/>
              </w:rPr>
            </w:pPr>
          </w:p>
        </w:tc>
        <w:tc>
          <w:tcPr>
            <w:tcW w:w="1560" w:type="dxa"/>
            <w:vMerge w:val="continue"/>
            <w:vAlign w:val="center"/>
          </w:tcPr>
          <w:p>
            <w:pPr>
              <w:wordWrap/>
              <w:spacing w:line="360" w:lineRule="auto"/>
              <w:textAlignment w:val="auto"/>
              <w:rPr>
                <w:rFonts w:hint="eastAsia" w:ascii="仿宋" w:hAnsi="仿宋" w:eastAsia="仿宋" w:cs="仿宋"/>
                <w:color w:val="000000"/>
                <w:kern w:val="0"/>
                <w:sz w:val="21"/>
                <w:szCs w:val="21"/>
              </w:rPr>
            </w:pPr>
          </w:p>
        </w:tc>
        <w:tc>
          <w:tcPr>
            <w:tcW w:w="1984" w:type="dxa"/>
            <w:vAlign w:val="center"/>
          </w:tcPr>
          <w:p>
            <w:pPr>
              <w:wordWrap/>
              <w:spacing w:line="360" w:lineRule="auto"/>
              <w:textAlignment w:val="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响应</w:t>
            </w:r>
            <w:r>
              <w:rPr>
                <w:rFonts w:hint="eastAsia" w:ascii="仿宋" w:hAnsi="仿宋" w:eastAsia="仿宋" w:cs="仿宋"/>
                <w:color w:val="000000"/>
                <w:sz w:val="21"/>
                <w:szCs w:val="21"/>
                <w:lang w:val="zh-CN"/>
              </w:rPr>
              <w:t>文件内容</w:t>
            </w:r>
          </w:p>
        </w:tc>
        <w:tc>
          <w:tcPr>
            <w:tcW w:w="5409" w:type="dxa"/>
            <w:vAlign w:val="center"/>
          </w:tcPr>
          <w:p>
            <w:pPr>
              <w:wordWrap/>
              <w:spacing w:line="360" w:lineRule="auto"/>
              <w:textAlignment w:val="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响应</w:t>
            </w:r>
            <w:r>
              <w:rPr>
                <w:rFonts w:hint="eastAsia" w:ascii="仿宋" w:hAnsi="仿宋" w:eastAsia="仿宋" w:cs="仿宋"/>
                <w:color w:val="000000"/>
                <w:sz w:val="21"/>
                <w:szCs w:val="21"/>
                <w:lang w:val="zh-CN"/>
              </w:rPr>
              <w:t>文件内容包含经济、资格、商务和技术文件四部分。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75" w:type="dxa"/>
            <w:vMerge w:val="restart"/>
            <w:vAlign w:val="center"/>
          </w:tcPr>
          <w:p>
            <w:pPr>
              <w:wordWrap/>
              <w:spacing w:line="360" w:lineRule="auto"/>
              <w:jc w:val="center"/>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560" w:type="dxa"/>
            <w:vMerge w:val="restart"/>
            <w:vAlign w:val="center"/>
          </w:tcPr>
          <w:p>
            <w:pPr>
              <w:wordWrap/>
              <w:spacing w:line="360" w:lineRule="auto"/>
              <w:textAlignment w:val="auto"/>
              <w:rPr>
                <w:rFonts w:hint="eastAsia" w:ascii="仿宋" w:hAnsi="仿宋" w:eastAsia="仿宋" w:cs="仿宋"/>
                <w:color w:val="000000"/>
                <w:sz w:val="21"/>
                <w:szCs w:val="21"/>
                <w:lang w:val="zh-CN"/>
              </w:rPr>
            </w:pPr>
            <w:r>
              <w:rPr>
                <w:rFonts w:hint="eastAsia" w:ascii="仿宋" w:hAnsi="仿宋" w:eastAsia="仿宋" w:cs="仿宋"/>
                <w:color w:val="000000"/>
                <w:kern w:val="0"/>
                <w:sz w:val="21"/>
                <w:szCs w:val="21"/>
              </w:rPr>
              <w:t>竞争性磋商文件的响应程度审查</w:t>
            </w:r>
          </w:p>
        </w:tc>
        <w:tc>
          <w:tcPr>
            <w:tcW w:w="1984" w:type="dxa"/>
            <w:vAlign w:val="center"/>
          </w:tcPr>
          <w:p>
            <w:pPr>
              <w:wordWrap/>
              <w:spacing w:line="360" w:lineRule="auto"/>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响应文件内容</w:t>
            </w:r>
          </w:p>
        </w:tc>
        <w:tc>
          <w:tcPr>
            <w:tcW w:w="5409" w:type="dxa"/>
            <w:vAlign w:val="center"/>
          </w:tcPr>
          <w:p>
            <w:pPr>
              <w:pStyle w:val="34"/>
              <w:wordWrap/>
              <w:spacing w:beforeLines="0" w:afterLines="0" w:line="360" w:lineRule="auto"/>
              <w:jc w:val="left"/>
              <w:textAlignment w:val="auto"/>
              <w:rPr>
                <w:rFonts w:hint="eastAsia" w:ascii="仿宋" w:hAnsi="仿宋" w:eastAsia="仿宋" w:cs="仿宋"/>
                <w:color w:val="000000"/>
                <w:kern w:val="0"/>
                <w:sz w:val="21"/>
                <w:szCs w:val="21"/>
              </w:rPr>
            </w:pPr>
            <w:r>
              <w:rPr>
                <w:rFonts w:hint="eastAsia" w:ascii="仿宋" w:hAnsi="仿宋" w:eastAsia="仿宋" w:cs="仿宋"/>
                <w:color w:val="000000"/>
                <w:kern w:val="2"/>
                <w:sz w:val="21"/>
                <w:szCs w:val="21"/>
                <w:lang w:val="zh-CN" w:eastAsia="zh-CN" w:bidi="ar-SA"/>
              </w:rPr>
              <w:t>对竞争性磋商文件第二篇规定的内容作出响应</w:t>
            </w:r>
            <w:r>
              <w:rPr>
                <w:rFonts w:hint="eastAsia" w:ascii="仿宋_GB2312" w:hAnsi="仿宋_GB2312" w:eastAsia="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wordWrap/>
              <w:spacing w:line="360" w:lineRule="auto"/>
              <w:jc w:val="center"/>
              <w:textAlignment w:val="auto"/>
              <w:rPr>
                <w:rFonts w:hint="eastAsia" w:ascii="仿宋" w:hAnsi="仿宋" w:eastAsia="仿宋" w:cs="仿宋"/>
                <w:color w:val="000000"/>
                <w:kern w:val="0"/>
                <w:sz w:val="21"/>
                <w:szCs w:val="21"/>
              </w:rPr>
            </w:pPr>
          </w:p>
        </w:tc>
        <w:tc>
          <w:tcPr>
            <w:tcW w:w="1560" w:type="dxa"/>
            <w:vMerge w:val="continue"/>
            <w:vAlign w:val="center"/>
          </w:tcPr>
          <w:p>
            <w:pPr>
              <w:wordWrap/>
              <w:spacing w:line="360" w:lineRule="auto"/>
              <w:textAlignment w:val="auto"/>
              <w:rPr>
                <w:rFonts w:hint="eastAsia" w:ascii="仿宋" w:hAnsi="仿宋" w:eastAsia="仿宋" w:cs="仿宋"/>
                <w:color w:val="000000"/>
                <w:sz w:val="21"/>
                <w:szCs w:val="21"/>
                <w:lang w:val="zh-CN"/>
              </w:rPr>
            </w:pPr>
          </w:p>
        </w:tc>
        <w:tc>
          <w:tcPr>
            <w:tcW w:w="1984" w:type="dxa"/>
            <w:vAlign w:val="center"/>
          </w:tcPr>
          <w:p>
            <w:pPr>
              <w:wordWrap/>
              <w:spacing w:line="360" w:lineRule="auto"/>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磋商有效期</w:t>
            </w:r>
          </w:p>
        </w:tc>
        <w:tc>
          <w:tcPr>
            <w:tcW w:w="5409" w:type="dxa"/>
            <w:vAlign w:val="center"/>
          </w:tcPr>
          <w:p>
            <w:pPr>
              <w:wordWrap/>
              <w:spacing w:line="360" w:lineRule="auto"/>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满足</w:t>
            </w:r>
            <w:r>
              <w:rPr>
                <w:rFonts w:hint="eastAsia" w:ascii="仿宋" w:hAnsi="仿宋" w:cs="仿宋"/>
                <w:color w:val="000000"/>
                <w:kern w:val="0"/>
                <w:sz w:val="21"/>
                <w:szCs w:val="21"/>
                <w:lang w:val="en-US" w:eastAsia="zh-CN"/>
              </w:rPr>
              <w:t>竞争性</w:t>
            </w:r>
            <w:r>
              <w:rPr>
                <w:rFonts w:hint="eastAsia" w:ascii="仿宋" w:hAnsi="仿宋" w:eastAsia="仿宋" w:cs="仿宋"/>
                <w:color w:val="000000"/>
                <w:kern w:val="0"/>
                <w:sz w:val="21"/>
                <w:szCs w:val="21"/>
              </w:rPr>
              <w:t>磋商文件</w:t>
            </w:r>
            <w:r>
              <w:rPr>
                <w:rFonts w:hint="eastAsia" w:ascii="仿宋" w:hAnsi="仿宋" w:eastAsia="仿宋" w:cs="仿宋"/>
                <w:color w:val="000000"/>
                <w:sz w:val="21"/>
                <w:szCs w:val="21"/>
                <w:lang w:val="zh-CN"/>
              </w:rPr>
              <w:t>规定。</w:t>
            </w:r>
          </w:p>
        </w:tc>
      </w:tr>
    </w:tbl>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三）澄清有关问题。磋商小组在对响应文件的有效性、完整性和响应程度进行审查时，可以要求服务商对响应文件中含义不明确、同类问题表述不一致或者有明显文字和计算错误的内容等作出必要的澄清、说明或者更正。服务商的澄清、说明或者更正不得超出响应文件的范围或者改变响应文件的实质性内容。</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（四）磋商小组要求服务商澄清、说明或者更正响应文件应当以书面形式作出。服务商的澄清、说明或者更正应当由法定代表人或其授权代表签字或者加盖公章。由授权代表签字的，应当附法定代表人授权书。</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（五）在磋商过程中磋商的任何一方不得向他人透露与磋商有关的技术资料、价格或其他信息。</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服务商。</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（七）服务商在磋商时作出的所有书面承诺须由法定代表人或其授权代表签字。</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八）经磋商确定最终采购需求且磋商结束后，服务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服务商，视为放弃最后报价，以服务商响应文件中的报价为准。</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九）磋商小组采用综合评分法对提交最后报价的服务商的响应文件和最后报价（含有效书面承诺）进行综合评分。综合评分法，是指响应文件满足竞争性磋商文件全部实质性要求且按照评审因素的量化指标评审得分最高的服务商为成交候选服务商的评审方法。服务商总得分为价格、商务、技术等评定因素分别按照相应权重值计算分项得分后相加，满分为1</w:t>
      </w:r>
      <w:r>
        <w:rPr>
          <w:rFonts w:ascii="仿宋" w:hAnsi="仿宋" w:eastAsia="仿宋" w:cs="仿宋"/>
          <w:color w:val="000000"/>
          <w:szCs w:val="24"/>
        </w:rPr>
        <w:t>00</w:t>
      </w:r>
      <w:r>
        <w:rPr>
          <w:rFonts w:hint="eastAsia" w:ascii="仿宋" w:hAnsi="仿宋" w:eastAsia="仿宋" w:cs="仿宋"/>
          <w:color w:val="000000"/>
          <w:szCs w:val="24"/>
        </w:rPr>
        <w:t>分。（详见评审标准）。</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十）磋商小组各成员独立对每个实质性响应文件进行评价、打分，然后汇总每个服务商每项评分因素的得分，并根据综合评分情况按照评审得分由高到低顺序推荐3名以上成交候选服务商，并编写评审报告。若服务商的评审得分相同的，按照最后报价由低到高的顺序排列推荐。评审得分且最后报价相同的，按照服务指标优劣顺序排列推荐。</w:t>
      </w:r>
    </w:p>
    <w:p>
      <w:pPr>
        <w:pStyle w:val="4"/>
        <w:wordWrap/>
        <w:spacing w:line="360" w:lineRule="auto"/>
        <w:textAlignment w:val="auto"/>
        <w:rPr>
          <w:rFonts w:hint="eastAsia"/>
          <w:color w:val="000000"/>
        </w:rPr>
      </w:pPr>
      <w:bookmarkStart w:id="59" w:name="_Toc6998"/>
      <w:r>
        <w:rPr>
          <w:rFonts w:hint="eastAsia"/>
          <w:color w:val="000000"/>
        </w:rPr>
        <w:t>二、</w:t>
      </w:r>
      <w:bookmarkStart w:id="60" w:name="_Toc102227320"/>
      <w:bookmarkStart w:id="61" w:name="_Toc342913394"/>
      <w:r>
        <w:rPr>
          <w:rFonts w:hint="eastAsia"/>
          <w:color w:val="000000"/>
        </w:rPr>
        <w:t>评审标准</w:t>
      </w:r>
      <w:bookmarkEnd w:id="59"/>
    </w:p>
    <w:tbl>
      <w:tblPr>
        <w:tblStyle w:val="65"/>
        <w:tblW w:w="97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06"/>
        <w:gridCol w:w="933"/>
        <w:gridCol w:w="411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817" w:type="dxa"/>
            <w:vAlign w:val="center"/>
          </w:tcPr>
          <w:p>
            <w:pPr>
              <w:widowControl w:val="0"/>
              <w:wordWrap/>
              <w:adjustRightInd/>
              <w:snapToGrid/>
              <w:spacing w:line="240" w:lineRule="auto"/>
              <w:ind w:firstLine="28"/>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序号</w:t>
            </w:r>
          </w:p>
        </w:tc>
        <w:tc>
          <w:tcPr>
            <w:tcW w:w="1506" w:type="dxa"/>
            <w:vAlign w:val="center"/>
          </w:tcPr>
          <w:p>
            <w:pPr>
              <w:widowControl w:val="0"/>
              <w:wordWrap/>
              <w:adjustRightInd/>
              <w:snapToGrid/>
              <w:spacing w:line="240" w:lineRule="auto"/>
              <w:ind w:firstLine="28"/>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评分因素及权值</w:t>
            </w:r>
          </w:p>
        </w:tc>
        <w:tc>
          <w:tcPr>
            <w:tcW w:w="933" w:type="dxa"/>
            <w:vAlign w:val="center"/>
          </w:tcPr>
          <w:p>
            <w:pPr>
              <w:widowControl w:val="0"/>
              <w:wordWrap/>
              <w:adjustRightInd/>
              <w:snapToGrid/>
              <w:spacing w:line="240" w:lineRule="auto"/>
              <w:ind w:firstLine="28"/>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分值</w:t>
            </w:r>
          </w:p>
        </w:tc>
        <w:tc>
          <w:tcPr>
            <w:tcW w:w="4110" w:type="dxa"/>
            <w:vAlign w:val="center"/>
          </w:tcPr>
          <w:p>
            <w:pPr>
              <w:widowControl w:val="0"/>
              <w:wordWrap/>
              <w:adjustRightInd/>
              <w:snapToGrid/>
              <w:spacing w:line="240" w:lineRule="auto"/>
              <w:ind w:firstLine="28"/>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评分标准</w:t>
            </w:r>
          </w:p>
        </w:tc>
        <w:tc>
          <w:tcPr>
            <w:tcW w:w="2370" w:type="dxa"/>
            <w:vAlign w:val="center"/>
          </w:tcPr>
          <w:p>
            <w:pPr>
              <w:pStyle w:val="148"/>
              <w:widowControl w:val="0"/>
              <w:wordWrap/>
              <w:adjustRightInd/>
              <w:snapToGrid/>
              <w:spacing w:before="0" w:after="0" w:line="240" w:lineRule="auto"/>
              <w:ind w:firstLine="422" w:firstLineChars="200"/>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3" w:hRule="atLeast"/>
        </w:trPr>
        <w:tc>
          <w:tcPr>
            <w:tcW w:w="817" w:type="dxa"/>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506" w:type="dxa"/>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磋商报价</w:t>
            </w:r>
          </w:p>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（10%）</w:t>
            </w:r>
          </w:p>
        </w:tc>
        <w:tc>
          <w:tcPr>
            <w:tcW w:w="933" w:type="dxa"/>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10</w:t>
            </w:r>
          </w:p>
        </w:tc>
        <w:tc>
          <w:tcPr>
            <w:tcW w:w="411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满足资格要求且最后报价最低的服务商的价格为磋商基准价，按照下列公式计算每个服务商的磋商报价得分。</w:t>
            </w:r>
          </w:p>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磋商报价得分=（磋商基准价/最后磋商报价）×价格权值×100</w:t>
            </w:r>
          </w:p>
        </w:tc>
        <w:tc>
          <w:tcPr>
            <w:tcW w:w="237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trPr>
        <w:tc>
          <w:tcPr>
            <w:tcW w:w="817" w:type="dxa"/>
            <w:vMerge w:val="restart"/>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w:t>
            </w:r>
          </w:p>
        </w:tc>
        <w:tc>
          <w:tcPr>
            <w:tcW w:w="1506" w:type="dxa"/>
            <w:vMerge w:val="restart"/>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技术部分</w:t>
            </w:r>
          </w:p>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w:t>
            </w:r>
            <w:r>
              <w:rPr>
                <w:rFonts w:hint="eastAsia" w:ascii="方正仿宋_GBK" w:hAnsi="方正仿宋_GBK" w:eastAsia="方正仿宋_GBK" w:cs="方正仿宋_GBK"/>
                <w:color w:val="000000"/>
                <w:sz w:val="21"/>
                <w:szCs w:val="21"/>
                <w:lang w:val="en-US" w:eastAsia="zh-CN"/>
              </w:rPr>
              <w:t>5</w:t>
            </w:r>
            <w:r>
              <w:rPr>
                <w:rFonts w:hint="eastAsia" w:ascii="方正仿宋_GBK" w:hAnsi="方正仿宋_GBK" w:eastAsia="方正仿宋_GBK" w:cs="方正仿宋_GBK"/>
                <w:color w:val="000000"/>
                <w:sz w:val="21"/>
                <w:szCs w:val="21"/>
              </w:rPr>
              <w:t>%）</w:t>
            </w:r>
          </w:p>
        </w:tc>
        <w:tc>
          <w:tcPr>
            <w:tcW w:w="933" w:type="dxa"/>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服务方案（35分）</w:t>
            </w:r>
          </w:p>
        </w:tc>
        <w:tc>
          <w:tcPr>
            <w:tcW w:w="411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1）根据供应商所提供的针对本项目的服务方案进行评分容</w:t>
            </w:r>
          </w:p>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sym w:font="Wingdings" w:char="F081"/>
            </w:r>
            <w:r>
              <w:rPr>
                <w:rFonts w:hint="eastAsia" w:ascii="方正仿宋_GBK" w:hAnsi="方正仿宋_GBK" w:eastAsia="方正仿宋_GBK" w:cs="方正仿宋_GBK"/>
                <w:color w:val="000000"/>
                <w:sz w:val="21"/>
                <w:szCs w:val="21"/>
              </w:rPr>
              <w:t>内容全面、表述清晰、契合竞争性磋商文件的要求。优得8-10分，良得4-7分，一般得1-3分。</w:t>
            </w:r>
          </w:p>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sym w:font="Wingdings" w:char="F082"/>
            </w:r>
            <w:r>
              <w:rPr>
                <w:rFonts w:hint="eastAsia" w:ascii="方正仿宋_GBK" w:hAnsi="方正仿宋_GBK" w:eastAsia="方正仿宋_GBK" w:cs="方正仿宋_GBK"/>
                <w:color w:val="000000"/>
                <w:sz w:val="21"/>
                <w:szCs w:val="21"/>
              </w:rPr>
              <w:t>工作安排科学合理、可行性强，务实具体、便于操作。优得8-10分，良得4-7分，一般得1-3分。</w:t>
            </w:r>
          </w:p>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sym w:font="Wingdings" w:char="F083"/>
            </w:r>
            <w:r>
              <w:rPr>
                <w:rFonts w:hint="eastAsia" w:ascii="方正仿宋_GBK" w:hAnsi="方正仿宋_GBK" w:eastAsia="方正仿宋_GBK" w:cs="方正仿宋_GBK"/>
                <w:color w:val="000000"/>
                <w:sz w:val="21"/>
                <w:szCs w:val="21"/>
              </w:rPr>
              <w:t>方案考虑周全，针对性强，符合实际情况。优得11-15分，良得5-10分，一般得1-4分。</w:t>
            </w:r>
          </w:p>
        </w:tc>
        <w:tc>
          <w:tcPr>
            <w:tcW w:w="237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未提供方案或方案中出现与本项目无关内容的，技术部分不得分。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 w:hRule="atLeast"/>
        </w:trPr>
        <w:tc>
          <w:tcPr>
            <w:tcW w:w="817" w:type="dxa"/>
            <w:vMerge w:val="continue"/>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p>
        </w:tc>
        <w:tc>
          <w:tcPr>
            <w:tcW w:w="1506" w:type="dxa"/>
            <w:vMerge w:val="continue"/>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p>
        </w:tc>
        <w:tc>
          <w:tcPr>
            <w:tcW w:w="933" w:type="dxa"/>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人员配置情况（2</w:t>
            </w:r>
            <w:r>
              <w:rPr>
                <w:rFonts w:hint="eastAsia" w:ascii="方正仿宋_GBK" w:hAnsi="方正仿宋_GBK" w:eastAsia="方正仿宋_GBK" w:cs="方正仿宋_GBK"/>
                <w:color w:val="000000"/>
                <w:sz w:val="21"/>
                <w:szCs w:val="21"/>
                <w:lang w:val="en-US" w:eastAsia="zh-CN"/>
              </w:rPr>
              <w:t>0</w:t>
            </w:r>
            <w:r>
              <w:rPr>
                <w:rFonts w:hint="eastAsia" w:ascii="方正仿宋_GBK" w:hAnsi="方正仿宋_GBK" w:eastAsia="方正仿宋_GBK" w:cs="方正仿宋_GBK"/>
                <w:color w:val="000000"/>
                <w:sz w:val="21"/>
                <w:szCs w:val="21"/>
              </w:rPr>
              <w:t>分）</w:t>
            </w:r>
          </w:p>
        </w:tc>
        <w:tc>
          <w:tcPr>
            <w:tcW w:w="411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2）人员配置情况</w:t>
            </w:r>
          </w:p>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rPr>
              <w:sym w:font="Wingdings" w:char="F081"/>
            </w:r>
            <w:r>
              <w:rPr>
                <w:rFonts w:hint="eastAsia" w:ascii="方正仿宋_GBK" w:hAnsi="方正仿宋_GBK" w:eastAsia="方正仿宋_GBK" w:cs="方正仿宋_GBK"/>
                <w:color w:val="000000"/>
                <w:sz w:val="21"/>
                <w:szCs w:val="21"/>
              </w:rPr>
              <w:t>供应商拥有完善的服务团队，磋商小组根据投标人的人员配备情况进行评审，最多得10分</w:t>
            </w:r>
            <w:r>
              <w:rPr>
                <w:rFonts w:hint="eastAsia" w:ascii="方正仿宋_GBK" w:hAnsi="方正仿宋_GBK" w:eastAsia="方正仿宋_GBK" w:cs="方正仿宋_GBK"/>
                <w:color w:val="000000"/>
                <w:sz w:val="21"/>
                <w:szCs w:val="21"/>
                <w:lang w:eastAsia="zh-CN"/>
              </w:rPr>
              <w:t>。</w:t>
            </w:r>
          </w:p>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sym w:font="Wingdings" w:char="F082"/>
            </w:r>
            <w:r>
              <w:rPr>
                <w:rFonts w:hint="eastAsia" w:ascii="方正仿宋_GBK" w:hAnsi="方正仿宋_GBK" w:eastAsia="方正仿宋_GBK" w:cs="方正仿宋_GBK"/>
                <w:color w:val="000000"/>
                <w:sz w:val="21"/>
                <w:szCs w:val="21"/>
              </w:rPr>
              <w:t>服务团队人员组成</w:t>
            </w:r>
          </w:p>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固定一名专职律师负责工作对接的得5分，固定</w:t>
            </w:r>
            <w:r>
              <w:rPr>
                <w:rFonts w:hint="eastAsia" w:ascii="方正仿宋_GBK" w:hAnsi="方正仿宋_GBK" w:eastAsia="方正仿宋_GBK" w:cs="方正仿宋_GBK"/>
                <w:color w:val="000000"/>
                <w:sz w:val="21"/>
                <w:szCs w:val="21"/>
              </w:rPr>
              <w:t>专职律师获得</w:t>
            </w:r>
            <w:r>
              <w:rPr>
                <w:rFonts w:hint="eastAsia" w:ascii="方正仿宋_GBK" w:hAnsi="方正仿宋_GBK" w:eastAsia="方正仿宋_GBK" w:cs="方正仿宋_GBK"/>
                <w:color w:val="000000"/>
                <w:sz w:val="21"/>
                <w:szCs w:val="21"/>
                <w:lang w:val="en-US" w:eastAsia="zh-CN"/>
              </w:rPr>
              <w:t>省部</w:t>
            </w:r>
            <w:r>
              <w:rPr>
                <w:rFonts w:hint="eastAsia" w:ascii="方正仿宋_GBK" w:hAnsi="方正仿宋_GBK" w:eastAsia="方正仿宋_GBK" w:cs="方正仿宋_GBK"/>
                <w:color w:val="000000"/>
                <w:sz w:val="21"/>
                <w:szCs w:val="21"/>
              </w:rPr>
              <w:t>级奖励的得5分。</w:t>
            </w:r>
          </w:p>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p>
        </w:tc>
        <w:tc>
          <w:tcPr>
            <w:tcW w:w="237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提供学历证书复印件、奖项提供相关证明加盖服务商公章，经历证明材料复印件加盖服务商公章，否则对应项不得分。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6" w:hRule="atLeast"/>
        </w:trPr>
        <w:tc>
          <w:tcPr>
            <w:tcW w:w="817" w:type="dxa"/>
            <w:vMerge w:val="continue"/>
            <w:vAlign w:val="center"/>
          </w:tcPr>
          <w:p>
            <w:pPr>
              <w:widowControl w:val="0"/>
              <w:wordWrap/>
              <w:adjustRightInd/>
              <w:snapToGrid/>
              <w:spacing w:line="240" w:lineRule="auto"/>
              <w:ind w:firstLine="28"/>
              <w:jc w:val="center"/>
              <w:textAlignment w:val="auto"/>
              <w:rPr>
                <w:rFonts w:hint="eastAsia" w:ascii="仿宋" w:hAnsi="仿宋" w:eastAsia="仿宋" w:cs="仿宋"/>
                <w:color w:val="000000"/>
                <w:sz w:val="21"/>
                <w:szCs w:val="21"/>
              </w:rPr>
            </w:pPr>
          </w:p>
        </w:tc>
        <w:tc>
          <w:tcPr>
            <w:tcW w:w="1506" w:type="dxa"/>
            <w:vMerge w:val="continue"/>
            <w:vAlign w:val="center"/>
          </w:tcPr>
          <w:p>
            <w:pPr>
              <w:widowControl w:val="0"/>
              <w:wordWrap/>
              <w:adjustRightInd/>
              <w:snapToGrid/>
              <w:spacing w:line="240" w:lineRule="auto"/>
              <w:ind w:firstLine="28"/>
              <w:jc w:val="center"/>
              <w:textAlignment w:val="auto"/>
              <w:rPr>
                <w:rFonts w:hint="eastAsia" w:ascii="仿宋" w:hAnsi="仿宋" w:eastAsia="仿宋" w:cs="仿宋"/>
                <w:color w:val="000000"/>
                <w:sz w:val="21"/>
                <w:szCs w:val="21"/>
              </w:rPr>
            </w:pPr>
          </w:p>
        </w:tc>
        <w:tc>
          <w:tcPr>
            <w:tcW w:w="933" w:type="dxa"/>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rPr>
              <w:t>服务</w:t>
            </w:r>
            <w:r>
              <w:rPr>
                <w:rFonts w:hint="eastAsia" w:ascii="方正仿宋_GBK" w:hAnsi="方正仿宋_GBK" w:eastAsia="方正仿宋_GBK" w:cs="方正仿宋_GBK"/>
                <w:color w:val="000000"/>
                <w:sz w:val="21"/>
                <w:szCs w:val="21"/>
                <w:lang w:val="en-US" w:eastAsia="zh-CN"/>
              </w:rPr>
              <w:t>能力（10）</w:t>
            </w:r>
          </w:p>
        </w:tc>
        <w:tc>
          <w:tcPr>
            <w:tcW w:w="411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根据供应商现场答辩和陈述情况进行评分，优秀得10-7分，一般得4-6分，差得0-3分。</w:t>
            </w:r>
          </w:p>
        </w:tc>
        <w:tc>
          <w:tcPr>
            <w:tcW w:w="237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6" w:hRule="atLeast"/>
        </w:trPr>
        <w:tc>
          <w:tcPr>
            <w:tcW w:w="817" w:type="dxa"/>
            <w:vMerge w:val="restart"/>
            <w:vAlign w:val="center"/>
          </w:tcPr>
          <w:p>
            <w:pPr>
              <w:widowControl w:val="0"/>
              <w:wordWrap/>
              <w:adjustRightInd/>
              <w:snapToGrid/>
              <w:spacing w:line="240" w:lineRule="auto"/>
              <w:ind w:firstLine="28"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506" w:type="dxa"/>
            <w:vMerge w:val="restart"/>
            <w:vAlign w:val="center"/>
          </w:tcPr>
          <w:p>
            <w:pPr>
              <w:widowControl w:val="0"/>
              <w:wordWrap/>
              <w:adjustRightInd/>
              <w:snapToGrid/>
              <w:spacing w:line="240" w:lineRule="auto"/>
              <w:ind w:firstLine="28"/>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商务部分</w:t>
            </w:r>
          </w:p>
          <w:p>
            <w:pPr>
              <w:widowControl w:val="0"/>
              <w:wordWrap/>
              <w:adjustRightInd/>
              <w:snapToGrid/>
              <w:spacing w:line="240" w:lineRule="auto"/>
              <w:ind w:firstLine="28"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cs="仿宋"/>
                <w:color w:val="000000"/>
                <w:sz w:val="21"/>
                <w:szCs w:val="21"/>
                <w:lang w:val="en-US" w:eastAsia="zh-CN"/>
              </w:rPr>
              <w:t>25</w:t>
            </w:r>
            <w:r>
              <w:rPr>
                <w:rFonts w:hint="eastAsia" w:ascii="仿宋" w:hAnsi="仿宋" w:eastAsia="仿宋" w:cs="仿宋"/>
                <w:color w:val="000000"/>
                <w:sz w:val="21"/>
                <w:szCs w:val="21"/>
              </w:rPr>
              <w:t>%）</w:t>
            </w:r>
          </w:p>
        </w:tc>
        <w:tc>
          <w:tcPr>
            <w:tcW w:w="933" w:type="dxa"/>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服务商业绩（</w:t>
            </w:r>
            <w:r>
              <w:rPr>
                <w:rFonts w:hint="eastAsia" w:ascii="方正仿宋_GBK" w:hAnsi="方正仿宋_GBK" w:eastAsia="方正仿宋_GBK" w:cs="方正仿宋_GBK"/>
                <w:color w:val="000000"/>
                <w:sz w:val="21"/>
                <w:szCs w:val="21"/>
                <w:lang w:val="en-US" w:eastAsia="zh-CN"/>
              </w:rPr>
              <w:t>10</w:t>
            </w:r>
            <w:r>
              <w:rPr>
                <w:rFonts w:hint="eastAsia" w:ascii="方正仿宋_GBK" w:hAnsi="方正仿宋_GBK" w:eastAsia="方正仿宋_GBK" w:cs="方正仿宋_GBK"/>
                <w:color w:val="000000"/>
                <w:sz w:val="21"/>
                <w:szCs w:val="21"/>
              </w:rPr>
              <w:t>）</w:t>
            </w:r>
          </w:p>
        </w:tc>
        <w:tc>
          <w:tcPr>
            <w:tcW w:w="411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rPr>
              <w:t>承担过市政府法律顾问的，</w:t>
            </w:r>
            <w:r>
              <w:rPr>
                <w:rFonts w:hint="eastAsia" w:ascii="方正仿宋_GBK" w:hAnsi="方正仿宋_GBK" w:eastAsia="方正仿宋_GBK" w:cs="方正仿宋_GBK"/>
                <w:color w:val="000000"/>
                <w:sz w:val="21"/>
                <w:szCs w:val="21"/>
                <w:lang w:eastAsia="zh-CN"/>
              </w:rPr>
              <w:t>得</w:t>
            </w:r>
            <w:r>
              <w:rPr>
                <w:rFonts w:hint="eastAsia" w:ascii="方正仿宋_GBK" w:hAnsi="方正仿宋_GBK" w:eastAsia="方正仿宋_GBK" w:cs="方正仿宋_GBK"/>
                <w:color w:val="000000"/>
                <w:sz w:val="21"/>
                <w:szCs w:val="21"/>
                <w:lang w:val="en-US" w:eastAsia="zh-CN"/>
              </w:rPr>
              <w:t>5分；承担过市级部门或区县政府法律顾问的得3分；承担过区县级部门法律顾问的得1分。（只得其中1项分数）</w:t>
            </w:r>
          </w:p>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担任法律顾问</w:t>
            </w:r>
            <w:r>
              <w:rPr>
                <w:rFonts w:hint="eastAsia" w:ascii="方正仿宋_GBK" w:hAnsi="方正仿宋_GBK" w:eastAsia="方正仿宋_GBK" w:cs="方正仿宋_GBK"/>
                <w:color w:val="000000"/>
                <w:sz w:val="21"/>
                <w:szCs w:val="21"/>
                <w:lang w:val="en-US" w:eastAsia="zh-CN"/>
              </w:rPr>
              <w:t>3年及以上的得5分；</w:t>
            </w:r>
            <w:r>
              <w:rPr>
                <w:rFonts w:hint="eastAsia" w:ascii="方正仿宋_GBK" w:hAnsi="方正仿宋_GBK" w:eastAsia="方正仿宋_GBK" w:cs="方正仿宋_GBK"/>
                <w:color w:val="000000"/>
                <w:sz w:val="21"/>
                <w:szCs w:val="21"/>
              </w:rPr>
              <w:t>1-</w:t>
            </w:r>
            <w:r>
              <w:rPr>
                <w:rFonts w:hint="eastAsia" w:ascii="方正仿宋_GBK" w:hAnsi="方正仿宋_GBK" w:eastAsia="方正仿宋_GBK" w:cs="方正仿宋_GBK"/>
                <w:color w:val="000000"/>
                <w:sz w:val="21"/>
                <w:szCs w:val="21"/>
                <w:lang w:val="en-US" w:eastAsia="zh-CN"/>
              </w:rPr>
              <w:t>2</w:t>
            </w:r>
            <w:r>
              <w:rPr>
                <w:rFonts w:hint="eastAsia" w:ascii="方正仿宋_GBK" w:hAnsi="方正仿宋_GBK" w:eastAsia="方正仿宋_GBK" w:cs="方正仿宋_GBK"/>
                <w:color w:val="000000"/>
                <w:sz w:val="21"/>
                <w:szCs w:val="21"/>
              </w:rPr>
              <w:t>年得</w:t>
            </w:r>
            <w:r>
              <w:rPr>
                <w:rFonts w:hint="eastAsia" w:ascii="方正仿宋_GBK" w:hAnsi="方正仿宋_GBK" w:eastAsia="方正仿宋_GBK" w:cs="方正仿宋_GBK"/>
                <w:color w:val="000000"/>
                <w:sz w:val="21"/>
                <w:szCs w:val="21"/>
                <w:lang w:val="en-US" w:eastAsia="zh-CN"/>
              </w:rPr>
              <w:t>3</w:t>
            </w:r>
            <w:r>
              <w:rPr>
                <w:rFonts w:hint="eastAsia" w:ascii="方正仿宋_GBK" w:hAnsi="方正仿宋_GBK" w:eastAsia="方正仿宋_GBK" w:cs="方正仿宋_GBK"/>
                <w:color w:val="000000"/>
                <w:sz w:val="21"/>
                <w:szCs w:val="21"/>
              </w:rPr>
              <w:t>分。</w:t>
            </w:r>
            <w:r>
              <w:rPr>
                <w:rFonts w:hint="eastAsia" w:ascii="方正仿宋_GBK" w:hAnsi="方正仿宋_GBK" w:eastAsia="方正仿宋_GBK" w:cs="方正仿宋_GBK"/>
                <w:color w:val="000000"/>
                <w:sz w:val="21"/>
                <w:szCs w:val="21"/>
                <w:lang w:val="en-US" w:eastAsia="zh-CN"/>
              </w:rPr>
              <w:t>（只得其中1项分数）</w:t>
            </w:r>
          </w:p>
        </w:tc>
        <w:tc>
          <w:tcPr>
            <w:tcW w:w="237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提供加盖服务商公章的合同复印件，原件备查。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6" w:hRule="atLeast"/>
        </w:trPr>
        <w:tc>
          <w:tcPr>
            <w:tcW w:w="817" w:type="dxa"/>
            <w:vMerge w:val="continue"/>
            <w:vAlign w:val="center"/>
          </w:tcPr>
          <w:p>
            <w:pPr>
              <w:widowControl w:val="0"/>
              <w:wordWrap/>
              <w:adjustRightInd/>
              <w:snapToGrid/>
              <w:spacing w:line="240" w:lineRule="auto"/>
              <w:ind w:firstLine="28"/>
              <w:jc w:val="center"/>
              <w:textAlignment w:val="auto"/>
              <w:rPr>
                <w:rFonts w:hint="eastAsia" w:ascii="仿宋" w:hAnsi="仿宋" w:eastAsia="仿宋" w:cs="仿宋"/>
                <w:color w:val="000000"/>
                <w:sz w:val="21"/>
                <w:szCs w:val="21"/>
              </w:rPr>
            </w:pPr>
          </w:p>
        </w:tc>
        <w:tc>
          <w:tcPr>
            <w:tcW w:w="1506" w:type="dxa"/>
            <w:vMerge w:val="continue"/>
            <w:vAlign w:val="center"/>
          </w:tcPr>
          <w:p>
            <w:pPr>
              <w:widowControl w:val="0"/>
              <w:wordWrap/>
              <w:adjustRightInd/>
              <w:snapToGrid/>
              <w:spacing w:line="240" w:lineRule="auto"/>
              <w:ind w:firstLine="28"/>
              <w:jc w:val="center"/>
              <w:textAlignment w:val="auto"/>
              <w:rPr>
                <w:rFonts w:hint="eastAsia" w:ascii="仿宋" w:hAnsi="仿宋" w:eastAsia="仿宋" w:cs="仿宋"/>
                <w:color w:val="000000"/>
                <w:sz w:val="21"/>
                <w:szCs w:val="21"/>
              </w:rPr>
            </w:pPr>
          </w:p>
        </w:tc>
        <w:tc>
          <w:tcPr>
            <w:tcW w:w="933" w:type="dxa"/>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服务商合作研究业绩（5分）</w:t>
            </w:r>
          </w:p>
        </w:tc>
        <w:tc>
          <w:tcPr>
            <w:tcW w:w="411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服务商在近两年与政府及协助管理部门合作出具相关调研文件、材料、刊物</w:t>
            </w:r>
            <w:r>
              <w:rPr>
                <w:rFonts w:hint="eastAsia" w:ascii="方正仿宋_GBK" w:hAnsi="方正仿宋_GBK" w:eastAsia="方正仿宋_GBK" w:cs="方正仿宋_GBK"/>
                <w:color w:val="000000"/>
                <w:sz w:val="21"/>
                <w:szCs w:val="21"/>
                <w:lang w:val="en-US" w:eastAsia="zh-CN"/>
              </w:rPr>
              <w:t>的得</w:t>
            </w:r>
            <w:r>
              <w:rPr>
                <w:rFonts w:hint="eastAsia" w:ascii="方正仿宋_GBK" w:hAnsi="方正仿宋_GBK" w:eastAsia="方正仿宋_GBK" w:cs="方正仿宋_GBK"/>
                <w:color w:val="000000"/>
                <w:sz w:val="21"/>
                <w:szCs w:val="21"/>
              </w:rPr>
              <w:t>5分。</w:t>
            </w:r>
          </w:p>
        </w:tc>
        <w:tc>
          <w:tcPr>
            <w:tcW w:w="237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提供调研文件证明材料、刊物加盖服务商公章。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6" w:hRule="atLeast"/>
        </w:trPr>
        <w:tc>
          <w:tcPr>
            <w:tcW w:w="817" w:type="dxa"/>
            <w:vMerge w:val="continue"/>
            <w:vAlign w:val="center"/>
          </w:tcPr>
          <w:p>
            <w:pPr>
              <w:widowControl w:val="0"/>
              <w:wordWrap/>
              <w:adjustRightInd/>
              <w:snapToGrid/>
              <w:spacing w:line="240" w:lineRule="auto"/>
              <w:ind w:firstLine="28"/>
              <w:jc w:val="center"/>
              <w:textAlignment w:val="auto"/>
              <w:rPr>
                <w:rFonts w:hint="eastAsia" w:ascii="仿宋" w:hAnsi="仿宋" w:eastAsia="仿宋" w:cs="仿宋"/>
                <w:color w:val="000000"/>
                <w:sz w:val="21"/>
                <w:szCs w:val="21"/>
              </w:rPr>
            </w:pPr>
          </w:p>
        </w:tc>
        <w:tc>
          <w:tcPr>
            <w:tcW w:w="1506" w:type="dxa"/>
            <w:vMerge w:val="continue"/>
            <w:vAlign w:val="center"/>
          </w:tcPr>
          <w:p>
            <w:pPr>
              <w:widowControl w:val="0"/>
              <w:wordWrap/>
              <w:adjustRightInd/>
              <w:snapToGrid/>
              <w:spacing w:line="240" w:lineRule="auto"/>
              <w:ind w:firstLine="28"/>
              <w:jc w:val="center"/>
              <w:textAlignment w:val="auto"/>
              <w:rPr>
                <w:rFonts w:hint="eastAsia" w:ascii="仿宋" w:hAnsi="仿宋" w:eastAsia="仿宋" w:cs="仿宋"/>
                <w:color w:val="000000"/>
                <w:sz w:val="21"/>
                <w:szCs w:val="21"/>
              </w:rPr>
            </w:pPr>
          </w:p>
        </w:tc>
        <w:tc>
          <w:tcPr>
            <w:tcW w:w="933" w:type="dxa"/>
            <w:vAlign w:val="center"/>
          </w:tcPr>
          <w:p>
            <w:pPr>
              <w:widowControl w:val="0"/>
              <w:wordWrap/>
              <w:adjustRightInd/>
              <w:snapToGrid/>
              <w:spacing w:line="240" w:lineRule="auto"/>
              <w:ind w:firstLine="28"/>
              <w:jc w:val="center"/>
              <w:textAlignment w:val="auto"/>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承诺（10）</w:t>
            </w:r>
          </w:p>
        </w:tc>
        <w:tc>
          <w:tcPr>
            <w:tcW w:w="411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4"/>
              </w:rPr>
              <w:t>根据供应商的承诺事项进行评分，总分为10分。</w:t>
            </w:r>
          </w:p>
        </w:tc>
        <w:tc>
          <w:tcPr>
            <w:tcW w:w="2370" w:type="dxa"/>
            <w:vAlign w:val="center"/>
          </w:tcPr>
          <w:p>
            <w:pPr>
              <w:widowControl w:val="0"/>
              <w:wordWrap/>
              <w:adjustRightInd/>
              <w:snapToGrid/>
              <w:spacing w:line="240" w:lineRule="auto"/>
              <w:textAlignment w:val="auto"/>
              <w:rPr>
                <w:rFonts w:hint="eastAsia" w:ascii="方正仿宋_GBK" w:hAnsi="方正仿宋_GBK" w:eastAsia="方正仿宋_GBK" w:cs="方正仿宋_GBK"/>
                <w:color w:val="000000"/>
                <w:sz w:val="21"/>
                <w:szCs w:val="21"/>
              </w:rPr>
            </w:pPr>
          </w:p>
        </w:tc>
      </w:tr>
    </w:tbl>
    <w:p>
      <w:pPr>
        <w:pStyle w:val="4"/>
        <w:wordWrap/>
        <w:spacing w:line="360" w:lineRule="auto"/>
        <w:textAlignment w:val="auto"/>
        <w:rPr>
          <w:rFonts w:hint="eastAsia"/>
          <w:color w:val="000000"/>
        </w:rPr>
      </w:pPr>
      <w:bookmarkStart w:id="62" w:name="_Toc17061"/>
      <w:r>
        <w:rPr>
          <w:rFonts w:hint="eastAsia"/>
          <w:color w:val="000000"/>
        </w:rPr>
        <w:t>三、无效响应</w:t>
      </w:r>
      <w:bookmarkEnd w:id="62"/>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服务商发生以下条款情况之一者，视为无效响应，其响应文件将被拒绝：</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（一）服务商不符合规定的基本资格条件或特定资格条件的；</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（二）服务商不符合规定的符合性检查条件的；</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（三）服务商的法定代表人或其授权代表未参加磋商；</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（四）服务商所提交的响应文件不按第七篇“响应文件编制要求”规定签字、盖章；</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（五）服务商的最后报价超过采购预算或最高限价的；</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（六）单位负责人为同一人或者存在直接控股、管理关系的不同服务商，参加同一合同项下的政府采购活动的；</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（七）为采购项目提供整体设计、规范编制或者项目管理、监理、检测等服务的服务商，再参加该采购项目的其他采购活动；</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（八）磋商有效期不满足竞争性磋商文件要求的；</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（九）服务商响应文件内容有与国家现行法律法规相违背的内容，或附有采购人无法接受的条件。</w:t>
      </w:r>
    </w:p>
    <w:p>
      <w:pPr>
        <w:pStyle w:val="4"/>
        <w:wordWrap/>
        <w:spacing w:line="360" w:lineRule="auto"/>
        <w:textAlignment w:val="auto"/>
        <w:rPr>
          <w:rFonts w:hint="eastAsia"/>
          <w:color w:val="000000"/>
        </w:rPr>
      </w:pPr>
      <w:bookmarkStart w:id="63" w:name="_Toc26521"/>
      <w:r>
        <w:rPr>
          <w:rFonts w:hint="eastAsia"/>
          <w:color w:val="000000"/>
        </w:rPr>
        <w:t>四、</w:t>
      </w:r>
      <w:bookmarkEnd w:id="60"/>
      <w:bookmarkEnd w:id="61"/>
      <w:r>
        <w:rPr>
          <w:rFonts w:hint="eastAsia"/>
          <w:color w:val="000000"/>
        </w:rPr>
        <w:t>采购终止</w:t>
      </w:r>
      <w:bookmarkEnd w:id="63"/>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出现下列情形之一的，采购人或者应当终止竞争性磋商采购活动，发布项目终止公告并说明原因，重新开展采购活动：</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（一）因情况变化，不再符合规定的竞争性磋商重庆市药品监督管理局式适用情形的；</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（二）出现影响采购公正的违法、违规行为的；</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（三）在采购过程中符合要求的服务商或者报价未超过采购预算的服务商不足3家的。</w:t>
      </w:r>
    </w:p>
    <w:p>
      <w:pPr>
        <w:wordWrap/>
        <w:spacing w:line="360" w:lineRule="auto"/>
        <w:ind w:firstLine="480" w:firstLineChars="200"/>
        <w:textAlignment w:val="auto"/>
        <w:rPr>
          <w:rFonts w:hint="eastAsia" w:ascii="仿宋" w:hAnsi="仿宋" w:eastAsia="仿宋" w:cs="仿宋"/>
          <w:color w:val="000000"/>
          <w:szCs w:val="24"/>
        </w:rPr>
        <w:sectPr>
          <w:pgSz w:w="11907" w:h="16840"/>
          <w:pgMar w:top="1134" w:right="1191" w:bottom="1134" w:left="1304" w:header="964" w:footer="992" w:gutter="0"/>
          <w:pgNumType w:fmt="numberInDash"/>
          <w:cols w:space="720" w:num="1"/>
          <w:docGrid w:linePitch="312" w:charSpace="0"/>
        </w:sectPr>
      </w:pPr>
    </w:p>
    <w:p>
      <w:pPr>
        <w:pStyle w:val="3"/>
        <w:wordWrap/>
        <w:spacing w:line="360" w:lineRule="auto"/>
        <w:textAlignment w:val="auto"/>
        <w:rPr>
          <w:rFonts w:hint="eastAsia"/>
          <w:b/>
          <w:color w:val="000000"/>
        </w:rPr>
      </w:pPr>
      <w:bookmarkStart w:id="64" w:name="_Toc6281"/>
      <w:bookmarkStart w:id="65" w:name="_Toc4352250"/>
      <w:bookmarkStart w:id="66" w:name="_Toc102227313"/>
      <w:bookmarkStart w:id="67" w:name="_Toc4354775"/>
      <w:bookmarkStart w:id="68" w:name="_Toc27744"/>
      <w:r>
        <w:rPr>
          <w:rFonts w:hint="eastAsia"/>
          <w:b/>
          <w:color w:val="000000"/>
        </w:rPr>
        <w:t>第五篇  服务商须知</w:t>
      </w:r>
      <w:bookmarkEnd w:id="64"/>
      <w:bookmarkEnd w:id="65"/>
      <w:bookmarkEnd w:id="66"/>
      <w:bookmarkEnd w:id="67"/>
      <w:bookmarkEnd w:id="68"/>
    </w:p>
    <w:p>
      <w:pPr>
        <w:pStyle w:val="4"/>
        <w:widowControl w:val="0"/>
        <w:wordWrap/>
        <w:adjustRightInd/>
        <w:snapToGrid/>
        <w:spacing w:line="360" w:lineRule="auto"/>
        <w:textAlignment w:val="auto"/>
        <w:rPr>
          <w:rFonts w:hint="eastAsia"/>
          <w:color w:val="000000"/>
        </w:rPr>
      </w:pPr>
      <w:bookmarkStart w:id="69" w:name="_Toc26015"/>
      <w:bookmarkStart w:id="70" w:name="_Toc342913391"/>
      <w:r>
        <w:rPr>
          <w:rFonts w:hint="eastAsia"/>
          <w:color w:val="000000"/>
        </w:rPr>
        <w:t>一、竞争性磋商文件</w:t>
      </w:r>
      <w:bookmarkEnd w:id="69"/>
      <w:bookmarkEnd w:id="70"/>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（一）竞争性磋商文件由采购邀请书、服务商须知、采购技术需求、采购商务需求、第四篇  磋商程序及方法、评审标准、无效响应和采购终止、合同草案条款、响应文件编制要求七部分组成。</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（二）采购人（或）所作的一切有效的书面通知、修改及补充，都是竞争性磋商文件不可分割的部分。</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（三）</w:t>
      </w:r>
      <w:bookmarkStart w:id="71" w:name="_Toc318166429"/>
      <w:bookmarkStart w:id="72" w:name="_Toc318159160"/>
      <w:bookmarkStart w:id="73" w:name="_Toc318159349"/>
      <w:bookmarkStart w:id="74" w:name="_Toc318159780"/>
      <w:r>
        <w:rPr>
          <w:rFonts w:hint="eastAsia" w:ascii="仿宋" w:hAnsi="仿宋" w:eastAsia="仿宋" w:cs="仿宋"/>
          <w:color w:val="000000"/>
          <w:szCs w:val="24"/>
        </w:rPr>
        <w:t>本竞争性磋商文件中，磋商小组根据与服务商进行磋商可能实质性变动的内容为竞争性磋商文件第二、三、</w:t>
      </w:r>
      <w:r>
        <w:rPr>
          <w:rFonts w:hint="eastAsia" w:ascii="仿宋" w:hAnsi="仿宋" w:cs="仿宋"/>
          <w:color w:val="000000"/>
          <w:szCs w:val="24"/>
          <w:lang w:val="en-US" w:eastAsia="zh-CN"/>
        </w:rPr>
        <w:t>六</w:t>
      </w:r>
      <w:r>
        <w:rPr>
          <w:rFonts w:hint="eastAsia" w:ascii="仿宋" w:hAnsi="仿宋" w:eastAsia="仿宋" w:cs="仿宋"/>
          <w:color w:val="000000"/>
          <w:szCs w:val="24"/>
        </w:rPr>
        <w:t>篇全部内容。</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（四）评审的依据为竞争性磋商文件和响应文件（含有效的书面承诺）。磋商小组判断响应文件对竞争性磋商文件的响应，仅基于响应文件本身而不靠外部证据。</w:t>
      </w:r>
    </w:p>
    <w:bookmarkEnd w:id="71"/>
    <w:bookmarkEnd w:id="72"/>
    <w:bookmarkEnd w:id="73"/>
    <w:bookmarkEnd w:id="74"/>
    <w:p>
      <w:pPr>
        <w:pStyle w:val="4"/>
        <w:widowControl w:val="0"/>
        <w:wordWrap/>
        <w:adjustRightInd/>
        <w:snapToGrid/>
        <w:spacing w:line="360" w:lineRule="auto"/>
        <w:textAlignment w:val="auto"/>
        <w:rPr>
          <w:rFonts w:hint="eastAsia"/>
          <w:color w:val="000000"/>
        </w:rPr>
      </w:pPr>
      <w:bookmarkStart w:id="75" w:name="_Toc342913392"/>
      <w:bookmarkStart w:id="76" w:name="_Toc102227318"/>
      <w:bookmarkStart w:id="77" w:name="_Toc1499"/>
      <w:bookmarkStart w:id="78" w:name="_Toc179714297"/>
      <w:r>
        <w:rPr>
          <w:rFonts w:hint="eastAsia"/>
          <w:color w:val="000000"/>
        </w:rPr>
        <w:t>三、磋商要求</w:t>
      </w:r>
      <w:bookmarkEnd w:id="75"/>
      <w:bookmarkEnd w:id="76"/>
      <w:bookmarkEnd w:id="77"/>
      <w:bookmarkEnd w:id="78"/>
    </w:p>
    <w:p>
      <w:pPr>
        <w:widowControl w:val="0"/>
        <w:wordWrap/>
        <w:adjustRightInd/>
        <w:snapToGrid/>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（一）响应文件</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1、服务商应当按照竞争性磋商文件的要求编制响应文件，并对竞争性磋商文件提出的要求和条件作出实质性响应，响应文件原则上采用软面订本，同时应编制完整的页码、目录。</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2、响应文件组成</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响应文件由第七篇“响应文件编制要求”规定的部分和服务商所作的一切有效补充、修改和承诺等文件组成，服务商应按照第七篇“响应文件编制要求”规定的目录顺序组织编写和装订，也可在基本格式基础上对表格进行扩展，未规定格式的由服务商自定格式。</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（二）提交响应文件的份数和签署</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2、在响应文件正本中，竞争性磋商文件第七篇响应文件编制要求中规定签字、盖章的地方必须按其规定签字、盖章。</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（三）响应文件的递交</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1. 响应文件的密封</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1.1响应文件的正本、副本以及电子文档均应密封送达递交响应文件地点，应在封套上注明项目名称、服务商名称。若正本、副本以及电子文档分别进行密封的，还应在封套上注明“正本”、“副本”、“电子文档”字样。</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1.2封套的封口处应加盖服务商公章或由法定代表人授权代表签字。</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2.如果响应文件通过邮寄递交，服务商应将响应文件用内、外两层封套密封。</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2.1内层封套的封装同 “1、”款规定。</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2.2外层封套装入“1、”款所述全部内封资料，并注明项目编号、项目名称、名称及地址。同时应写明服务商的名称、地址，以便将迟交的响应文件原封退还。</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3.如果未按上述规定进行密封，对响应文件误投、丢失或提前拆封不负责任。</w:t>
      </w:r>
    </w:p>
    <w:p>
      <w:pPr>
        <w:pStyle w:val="4"/>
        <w:widowControl w:val="0"/>
        <w:wordWrap/>
        <w:adjustRightInd/>
        <w:snapToGrid/>
        <w:spacing w:line="360" w:lineRule="auto"/>
        <w:textAlignment w:val="auto"/>
        <w:rPr>
          <w:rFonts w:hint="eastAsia"/>
          <w:color w:val="000000"/>
        </w:rPr>
      </w:pPr>
      <w:bookmarkStart w:id="79" w:name="_Toc622"/>
      <w:r>
        <w:rPr>
          <w:rFonts w:hint="eastAsia"/>
          <w:color w:val="000000"/>
        </w:rPr>
        <w:t>四、成交服务商的变更</w:t>
      </w:r>
      <w:bookmarkEnd w:id="79"/>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一）成交服务商拒绝签订政府采购合同的，采购人可以按照评审报告推荐的成交候选人顺序，确定排名下一位的候选人为成交服务商，也可以重新开展政府采购活动。拒绝签订政府采购合同的成交服务商不得参加对该项目重新开展的采购活动。</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（二）成交服务商无充分理由放弃成交的，采购人将会同把相关情况报财政部门，财政部门将根据相关法律法规的规定对违规服务商进行处罚。</w:t>
      </w:r>
    </w:p>
    <w:p>
      <w:pPr>
        <w:pStyle w:val="4"/>
        <w:widowControl w:val="0"/>
        <w:wordWrap/>
        <w:adjustRightInd/>
        <w:snapToGrid/>
        <w:spacing w:line="360" w:lineRule="auto"/>
        <w:textAlignment w:val="auto"/>
        <w:rPr>
          <w:rFonts w:hint="eastAsia"/>
          <w:color w:val="000000"/>
        </w:rPr>
      </w:pPr>
      <w:bookmarkStart w:id="80" w:name="_Toc342913395"/>
      <w:bookmarkStart w:id="81" w:name="_Toc31378"/>
      <w:bookmarkStart w:id="82" w:name="_Toc102227321"/>
      <w:r>
        <w:rPr>
          <w:rFonts w:hint="eastAsia"/>
          <w:color w:val="000000"/>
        </w:rPr>
        <w:t>五、成交通知</w:t>
      </w:r>
      <w:bookmarkEnd w:id="80"/>
      <w:bookmarkEnd w:id="81"/>
      <w:bookmarkEnd w:id="82"/>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（一）成交服务商确定后，采购方将在</w:t>
      </w:r>
      <w:r>
        <w:rPr>
          <w:rFonts w:hint="eastAsia" w:ascii="仿宋" w:hAnsi="仿宋" w:cs="仿宋"/>
          <w:color w:val="000000"/>
          <w:szCs w:val="24"/>
          <w:lang w:val="en-US" w:eastAsia="zh-CN"/>
        </w:rPr>
        <w:t>重庆市药监局官</w:t>
      </w:r>
      <w:r>
        <w:rPr>
          <w:rFonts w:hint="eastAsia" w:ascii="仿宋" w:hAnsi="仿宋" w:eastAsia="仿宋" w:cs="仿宋"/>
          <w:color w:val="000000"/>
          <w:szCs w:val="24"/>
        </w:rPr>
        <w:t>网（</w:t>
      </w:r>
      <w:r>
        <w:rPr>
          <w:color w:val="000000"/>
        </w:rPr>
        <w:fldChar w:fldCharType="begin"/>
      </w:r>
      <w:r>
        <w:rPr>
          <w:color w:val="000000"/>
        </w:rPr>
        <w:instrText xml:space="preserve"> HYPERLINK "http://www.cqgp.gov.cn" </w:instrText>
      </w:r>
      <w:r>
        <w:rPr>
          <w:color w:val="000000"/>
        </w:rPr>
        <w:fldChar w:fldCharType="separate"/>
      </w:r>
      <w:r>
        <w:rPr>
          <w:rFonts w:hint="eastAsia" w:ascii="仿宋" w:hAnsi="仿宋" w:eastAsia="仿宋" w:cs="仿宋"/>
          <w:color w:val="000000"/>
          <w:szCs w:val="24"/>
        </w:rPr>
        <w:t>http://www.</w:t>
      </w:r>
      <w:r>
        <w:rPr>
          <w:rFonts w:hint="eastAsia" w:ascii="仿宋" w:hAnsi="仿宋" w:eastAsia="仿宋" w:cs="仿宋"/>
          <w:color w:val="000000"/>
          <w:szCs w:val="24"/>
        </w:rPr>
        <w:fldChar w:fldCharType="end"/>
      </w:r>
      <w:r>
        <w:rPr>
          <w:rFonts w:hint="eastAsia" w:ascii="仿宋" w:hAnsi="仿宋" w:cs="仿宋"/>
          <w:color w:val="000000"/>
          <w:szCs w:val="24"/>
          <w:lang w:val="en-US" w:eastAsia="zh-CN"/>
        </w:rPr>
        <w:t>cqda.gov.cn</w:t>
      </w:r>
      <w:r>
        <w:rPr>
          <w:rFonts w:hint="eastAsia" w:ascii="仿宋" w:hAnsi="仿宋" w:eastAsia="仿宋" w:cs="仿宋"/>
          <w:color w:val="000000"/>
          <w:szCs w:val="24"/>
        </w:rPr>
        <w:t>）上发布成交结果公告。</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（二）结果公告发出同时，将以书面形式发出《成交通知书》。《成交通知书》一经发出即发生法律效力。</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（三）《成交通知书》将作为签订合同的依据。</w:t>
      </w:r>
    </w:p>
    <w:p>
      <w:pPr>
        <w:pStyle w:val="4"/>
        <w:widowControl w:val="0"/>
        <w:wordWrap/>
        <w:adjustRightInd/>
        <w:snapToGrid/>
        <w:spacing w:line="360" w:lineRule="auto"/>
        <w:textAlignment w:val="auto"/>
        <w:rPr>
          <w:rFonts w:hint="eastAsia"/>
          <w:color w:val="000000"/>
        </w:rPr>
      </w:pPr>
      <w:bookmarkStart w:id="83" w:name="_Toc30585"/>
      <w:r>
        <w:rPr>
          <w:rFonts w:hint="eastAsia"/>
          <w:color w:val="000000"/>
        </w:rPr>
        <w:t>六、关于质疑和投诉</w:t>
      </w:r>
      <w:bookmarkEnd w:id="83"/>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（一）质疑内容、时限</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1、服务商如对采购文件有疑问，必须以书面形式在收到采购文件之日起七个工作日内向采购人要求澄清。</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2、服务商对成交结果有异议的，应当在结果公告期限届满之日起七个工作日内以书面形式向采购人、提出质疑，并附相关证明材料。</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3、服务商对竞争性磋商文件中服务商特定资格条件、技术质量和商务要求、评审标准及评审细则有异议的，应主要向采购人提出质疑，其他问题可向提出质疑。</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（二）接收质疑函的方式</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质疑服务商应委派授权代表持服务商出具的授权委托书及被委托人的身份证明及加盖服务商的书面质疑函至递交质疑函。联合体投标的，质疑函应由组成联合体的所有服务商共同提出。服务商应在法定质疑期内一次性提出针对同一采购程序环节的质疑。</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（三）联系部门、电话及地址</w:t>
      </w:r>
    </w:p>
    <w:p>
      <w:pPr>
        <w:widowControl w:val="0"/>
        <w:wordWrap/>
        <w:adjustRightInd/>
        <w:snapToGrid/>
        <w:spacing w:line="360" w:lineRule="auto"/>
        <w:ind w:firstLine="465"/>
        <w:textAlignment w:val="auto"/>
        <w:rPr>
          <w:rFonts w:hint="default" w:ascii="仿宋" w:hAnsi="仿宋" w:eastAsia="仿宋" w:cs="仿宋"/>
          <w:color w:val="000000"/>
          <w:szCs w:val="24"/>
          <w:lang w:val="en-US" w:eastAsia="zh-CN"/>
        </w:rPr>
      </w:pPr>
      <w:r>
        <w:rPr>
          <w:rFonts w:hint="eastAsia" w:ascii="仿宋" w:hAnsi="仿宋" w:eastAsia="仿宋" w:cs="仿宋"/>
          <w:color w:val="000000"/>
          <w:szCs w:val="24"/>
        </w:rPr>
        <w:t>采购人：</w:t>
      </w:r>
      <w:r>
        <w:rPr>
          <w:rFonts w:hint="eastAsia" w:ascii="仿宋" w:hAnsi="仿宋" w:cs="仿宋"/>
          <w:color w:val="000000"/>
          <w:szCs w:val="24"/>
          <w:lang w:val="en-US" w:eastAsia="zh-CN"/>
        </w:rPr>
        <w:t>重庆市药品监督管理局</w:t>
      </w:r>
    </w:p>
    <w:p>
      <w:pPr>
        <w:widowControl w:val="0"/>
        <w:wordWrap/>
        <w:adjustRightInd/>
        <w:snapToGrid/>
        <w:spacing w:line="360" w:lineRule="auto"/>
        <w:ind w:firstLine="465"/>
        <w:textAlignment w:val="auto"/>
        <w:rPr>
          <w:rFonts w:hint="default" w:ascii="仿宋" w:hAnsi="仿宋" w:eastAsia="仿宋" w:cs="仿宋"/>
          <w:color w:val="000000"/>
          <w:szCs w:val="24"/>
          <w:lang w:val="en-US" w:eastAsia="zh-CN"/>
        </w:rPr>
      </w:pPr>
      <w:r>
        <w:rPr>
          <w:rFonts w:hint="eastAsia" w:ascii="仿宋" w:hAnsi="仿宋" w:eastAsia="仿宋" w:cs="仿宋"/>
          <w:color w:val="000000"/>
          <w:szCs w:val="24"/>
        </w:rPr>
        <w:t>联系人：</w:t>
      </w:r>
      <w:r>
        <w:rPr>
          <w:rFonts w:hint="eastAsia" w:ascii="仿宋" w:hAnsi="仿宋" w:cs="仿宋"/>
          <w:color w:val="000000"/>
          <w:szCs w:val="24"/>
          <w:lang w:val="en-US" w:eastAsia="zh-CN"/>
        </w:rPr>
        <w:t>李老师</w:t>
      </w:r>
    </w:p>
    <w:p>
      <w:pPr>
        <w:widowControl w:val="0"/>
        <w:wordWrap/>
        <w:adjustRightInd/>
        <w:snapToGrid/>
        <w:spacing w:line="360" w:lineRule="auto"/>
        <w:ind w:firstLine="465"/>
        <w:textAlignment w:val="auto"/>
        <w:rPr>
          <w:rFonts w:hint="default" w:ascii="仿宋" w:hAnsi="仿宋" w:eastAsia="仿宋" w:cs="仿宋"/>
          <w:color w:val="000000"/>
          <w:szCs w:val="24"/>
          <w:lang w:val="en-US" w:eastAsia="zh-CN"/>
        </w:rPr>
      </w:pPr>
      <w:r>
        <w:rPr>
          <w:rFonts w:hint="eastAsia" w:ascii="仿宋" w:hAnsi="仿宋" w:eastAsia="仿宋" w:cs="仿宋"/>
          <w:color w:val="000000"/>
          <w:szCs w:val="24"/>
        </w:rPr>
        <w:t>电  话：</w:t>
      </w:r>
      <w:r>
        <w:rPr>
          <w:rFonts w:hint="eastAsia" w:ascii="仿宋" w:hAnsi="仿宋" w:cs="仿宋"/>
          <w:color w:val="000000"/>
          <w:szCs w:val="24"/>
          <w:lang w:val="en-US" w:eastAsia="zh-CN"/>
        </w:rPr>
        <w:t>60353615</w:t>
      </w:r>
    </w:p>
    <w:p>
      <w:pPr>
        <w:widowControl w:val="0"/>
        <w:wordWrap/>
        <w:adjustRightInd/>
        <w:snapToGrid/>
        <w:spacing w:line="360" w:lineRule="auto"/>
        <w:ind w:firstLine="465"/>
        <w:textAlignment w:val="auto"/>
        <w:rPr>
          <w:rFonts w:hint="default" w:ascii="仿宋" w:hAnsi="仿宋" w:eastAsia="仿宋" w:cs="仿宋"/>
          <w:color w:val="000000"/>
          <w:szCs w:val="24"/>
          <w:lang w:val="en-US" w:eastAsia="zh-CN"/>
        </w:rPr>
      </w:pPr>
      <w:r>
        <w:rPr>
          <w:rFonts w:hint="eastAsia" w:ascii="仿宋" w:hAnsi="仿宋" w:eastAsia="仿宋" w:cs="仿宋"/>
          <w:color w:val="000000"/>
          <w:szCs w:val="24"/>
        </w:rPr>
        <w:t>传  真：</w:t>
      </w:r>
      <w:r>
        <w:rPr>
          <w:rFonts w:hint="eastAsia" w:ascii="仿宋" w:hAnsi="仿宋" w:cs="仿宋"/>
          <w:color w:val="000000"/>
          <w:szCs w:val="24"/>
          <w:lang w:val="en-US" w:eastAsia="zh-CN"/>
        </w:rPr>
        <w:t>60351615</w:t>
      </w:r>
    </w:p>
    <w:p>
      <w:pPr>
        <w:widowControl w:val="0"/>
        <w:wordWrap/>
        <w:adjustRightInd/>
        <w:snapToGrid/>
        <w:spacing w:line="360" w:lineRule="auto"/>
        <w:ind w:firstLine="465"/>
        <w:textAlignment w:val="auto"/>
        <w:rPr>
          <w:rFonts w:hint="default" w:ascii="仿宋" w:hAnsi="仿宋" w:eastAsia="仿宋" w:cs="仿宋"/>
          <w:color w:val="000000"/>
          <w:szCs w:val="24"/>
          <w:lang w:val="en-US" w:eastAsia="zh-CN"/>
        </w:rPr>
      </w:pPr>
      <w:r>
        <w:rPr>
          <w:rFonts w:hint="eastAsia" w:ascii="仿宋" w:hAnsi="仿宋" w:eastAsia="仿宋" w:cs="仿宋"/>
          <w:color w:val="000000"/>
          <w:szCs w:val="24"/>
        </w:rPr>
        <w:t>地  址：</w:t>
      </w:r>
      <w:r>
        <w:rPr>
          <w:rFonts w:hint="eastAsia" w:ascii="仿宋" w:hAnsi="仿宋" w:cs="仿宋"/>
          <w:color w:val="000000"/>
          <w:szCs w:val="24"/>
          <w:lang w:val="en-US" w:eastAsia="zh-CN"/>
        </w:rPr>
        <w:t>重庆市渝北区食品城大道27号</w:t>
      </w:r>
    </w:p>
    <w:p>
      <w:pPr>
        <w:widowControl w:val="0"/>
        <w:wordWrap/>
        <w:adjustRightInd/>
        <w:snapToGrid/>
        <w:spacing w:line="360" w:lineRule="auto"/>
        <w:ind w:firstLine="360" w:firstLineChars="150"/>
        <w:textAlignment w:val="auto"/>
        <w:rPr>
          <w:rFonts w:hint="eastAsia" w:ascii="仿宋" w:hAnsi="仿宋" w:eastAsia="仿宋" w:cs="仿宋"/>
          <w:color w:val="000000"/>
          <w:szCs w:val="24"/>
        </w:rPr>
      </w:pPr>
      <w:r>
        <w:rPr>
          <w:rFonts w:hint="eastAsia" w:ascii="仿宋" w:hAnsi="仿宋" w:eastAsia="仿宋" w:cs="仿宋"/>
          <w:color w:val="000000"/>
          <w:szCs w:val="24"/>
        </w:rPr>
        <w:t>（四）质疑答复</w:t>
      </w:r>
    </w:p>
    <w:p>
      <w:pPr>
        <w:widowControl w:val="0"/>
        <w:wordWrap/>
        <w:adjustRightInd/>
        <w:snapToGrid/>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rPr>
        <w:t>采购人在收到服务商书面质疑后七个工作日内，对质疑内容作出答复</w:t>
      </w:r>
      <w:r>
        <w:rPr>
          <w:rFonts w:hint="eastAsia" w:ascii="仿宋" w:hAnsi="仿宋" w:eastAsia="仿宋" w:cs="仿宋"/>
          <w:color w:val="000000"/>
          <w:szCs w:val="24"/>
        </w:rPr>
        <w:t>。</w:t>
      </w:r>
    </w:p>
    <w:p>
      <w:pPr>
        <w:widowControl w:val="0"/>
        <w:wordWrap/>
        <w:adjustRightInd/>
        <w:snapToGrid/>
        <w:spacing w:line="360" w:lineRule="auto"/>
        <w:textAlignment w:val="auto"/>
        <w:rPr>
          <w:rFonts w:hint="eastAsia" w:ascii="仿宋" w:hAnsi="仿宋" w:eastAsia="仿宋" w:cs="仿宋"/>
          <w:color w:val="000000"/>
          <w:szCs w:val="24"/>
        </w:rPr>
      </w:pPr>
      <w:r>
        <w:rPr>
          <w:rFonts w:hint="eastAsia" w:ascii="仿宋" w:hAnsi="仿宋" w:eastAsia="仿宋" w:cs="仿宋"/>
          <w:color w:val="000000"/>
          <w:szCs w:val="24"/>
        </w:rPr>
        <w:t xml:space="preserve">   （五）不予受理或暂缓受理</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1、质疑有下列情形之一的，不予受理：</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1.1质疑服务商参与了磋商活动后，再对竞争性磋商文件内容提出质疑的；</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1.2质疑超过有效期的；</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1.3对同一事项重复质疑的。</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2、质疑有下列情形之一的，应暂不受理并告知服务商补充材料。服务商及时补充材料的，应予受理；逾期未补充的，不予受理：</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2.1质疑书格式和内容不符合国家或重庆市相关规定的；</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2.2质疑书提供的依据或证明材料不全的；</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2.3质疑书副本数量不足的。</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（六）投诉</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1、服务商对采购人、的答复不满意，或者采购人、未在规定时间内答复的，可在答复期满后十五个工作日内按有关规定，向同级财政部门投诉。</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2、在提出投诉时，应附送相关证明材料。投诉书及证明材料为外文的，应同时提供其中文译本；中文与外文意思不一致的，以中文为准。</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4"/>
        <w:widowControl w:val="0"/>
        <w:wordWrap/>
        <w:adjustRightInd/>
        <w:snapToGrid/>
        <w:spacing w:line="360" w:lineRule="auto"/>
        <w:textAlignment w:val="auto"/>
        <w:rPr>
          <w:rFonts w:hint="eastAsia"/>
          <w:color w:val="000000"/>
        </w:rPr>
      </w:pPr>
      <w:bookmarkStart w:id="84" w:name="_Toc102227322"/>
      <w:bookmarkStart w:id="85" w:name="_Toc342913396"/>
      <w:bookmarkStart w:id="86" w:name="_Toc3020"/>
      <w:bookmarkStart w:id="87" w:name="_Toc11641055"/>
      <w:bookmarkStart w:id="88" w:name="_Toc12789059"/>
      <w:r>
        <w:rPr>
          <w:rFonts w:hint="eastAsia"/>
          <w:color w:val="000000"/>
        </w:rPr>
        <w:t>九、签订</w:t>
      </w:r>
      <w:bookmarkEnd w:id="84"/>
      <w:r>
        <w:rPr>
          <w:rFonts w:hint="eastAsia"/>
          <w:color w:val="000000"/>
        </w:rPr>
        <w:t>合同</w:t>
      </w:r>
      <w:bookmarkEnd w:id="85"/>
      <w:bookmarkEnd w:id="86"/>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（一）采购人应当自成交通知书发出之日起三十日内，按照竞争性磋商文件和成交服务商响应文件的约定，与成交服务商签订书面合同。所签订的合同不得对竞争性磋商文件和服务商的响应文件作实质性修改。</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（二）采购人应当自政府采购合同签订之日起2个工作日内，将政府采购合同在重庆市政府采购网上公告，但政府采购合同中涉及国家秘密、商业秘密的内容除外。</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（三）竞争性磋商文件、服务商的响应文件及澄清文件等，均为签订政府采购合同的依据。</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（四）合同生效条款由供需双方约定，法律、行政法规规定应当办理批准、登记等手续后生效的合同，依照其规定。</w:t>
      </w:r>
    </w:p>
    <w:p>
      <w:pPr>
        <w:widowControl w:val="0"/>
        <w:wordWrap/>
        <w:adjustRightInd/>
        <w:snapToGrid/>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（五）合同原则上应按照《重庆市政府采购合同》签订，相关单位要求适用合同通用格式版本的，应按其要求另行签订其他合同。</w:t>
      </w: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p>
      <w:pPr>
        <w:widowControl w:val="0"/>
        <w:wordWrap/>
        <w:adjustRightInd/>
        <w:snapToGrid/>
        <w:spacing w:line="360" w:lineRule="auto"/>
        <w:ind w:firstLine="465"/>
        <w:textAlignment w:val="auto"/>
        <w:rPr>
          <w:rFonts w:hint="eastAsia" w:ascii="仿宋" w:hAnsi="仿宋" w:eastAsia="仿宋" w:cs="仿宋"/>
          <w:color w:val="000000"/>
          <w:szCs w:val="24"/>
        </w:rPr>
      </w:pPr>
    </w:p>
    <w:bookmarkEnd w:id="87"/>
    <w:bookmarkEnd w:id="88"/>
    <w:p>
      <w:pPr>
        <w:pStyle w:val="3"/>
        <w:numPr>
          <w:ilvl w:val="0"/>
          <w:numId w:val="14"/>
        </w:numPr>
        <w:wordWrap/>
        <w:spacing w:line="360" w:lineRule="auto"/>
        <w:textAlignment w:val="auto"/>
        <w:rPr>
          <w:rFonts w:hint="eastAsia"/>
          <w:b/>
          <w:color w:val="000000"/>
        </w:rPr>
      </w:pPr>
      <w:bookmarkStart w:id="89" w:name="_Toc4352251"/>
      <w:bookmarkStart w:id="90" w:name="_Toc4354776"/>
      <w:bookmarkStart w:id="91" w:name="_Toc20023"/>
      <w:bookmarkStart w:id="92" w:name="_Toc15717"/>
      <w:r>
        <w:rPr>
          <w:rFonts w:hint="eastAsia"/>
          <w:b/>
          <w:color w:val="000000"/>
        </w:rPr>
        <w:t>合同草案条款</w:t>
      </w:r>
      <w:bookmarkEnd w:id="89"/>
      <w:bookmarkEnd w:id="90"/>
      <w:bookmarkEnd w:id="91"/>
      <w:bookmarkEnd w:id="92"/>
    </w:p>
    <w:p>
      <w:pPr>
        <w:pStyle w:val="3"/>
        <w:wordWrap/>
        <w:spacing w:line="360" w:lineRule="auto"/>
        <w:textAlignment w:val="auto"/>
        <w:rPr>
          <w:rFonts w:hint="eastAsia"/>
          <w:color w:val="000000"/>
          <w:sz w:val="24"/>
          <w:szCs w:val="22"/>
        </w:rPr>
      </w:pPr>
      <w:bookmarkStart w:id="93" w:name="_Toc285722712"/>
      <w:bookmarkStart w:id="94" w:name="_Toc6426"/>
      <w:bookmarkStart w:id="95" w:name="_Toc493506316"/>
      <w:bookmarkStart w:id="96" w:name="_Toc277084870"/>
      <w:bookmarkStart w:id="97" w:name="_Toc4352252"/>
      <w:bookmarkStart w:id="98" w:name="_Toc4354777"/>
      <w:bookmarkStart w:id="99" w:name="_Toc3672"/>
      <w:r>
        <w:rPr>
          <w:rFonts w:hint="eastAsia"/>
          <w:color w:val="000000"/>
          <w:sz w:val="24"/>
          <w:szCs w:val="22"/>
        </w:rPr>
        <w:t>一、合同主要条款</w:t>
      </w:r>
      <w:bookmarkEnd w:id="93"/>
      <w:bookmarkEnd w:id="94"/>
      <w:bookmarkEnd w:id="95"/>
      <w:bookmarkEnd w:id="96"/>
      <w:bookmarkEnd w:id="97"/>
      <w:bookmarkEnd w:id="98"/>
      <w:bookmarkEnd w:id="99"/>
    </w:p>
    <w:p>
      <w:pPr>
        <w:wordWrap/>
        <w:snapToGrid w:val="0"/>
        <w:spacing w:line="360" w:lineRule="auto"/>
        <w:ind w:firstLine="600" w:firstLineChars="250"/>
        <w:textAlignment w:val="auto"/>
        <w:outlineLvl w:val="0"/>
        <w:rPr>
          <w:rFonts w:hint="eastAsia" w:ascii="仿宋" w:hAnsi="仿宋" w:eastAsia="仿宋"/>
          <w:bCs/>
          <w:color w:val="000000"/>
        </w:rPr>
      </w:pPr>
      <w:bookmarkStart w:id="100" w:name="_Toc4352253"/>
      <w:bookmarkStart w:id="101" w:name="_Toc4354778"/>
      <w:bookmarkStart w:id="102" w:name="_Toc15719"/>
      <w:r>
        <w:rPr>
          <w:rFonts w:hint="eastAsia" w:ascii="仿宋" w:hAnsi="仿宋" w:eastAsia="仿宋"/>
          <w:bCs/>
          <w:color w:val="000000"/>
        </w:rPr>
        <w:t>1、定义</w:t>
      </w:r>
      <w:bookmarkEnd w:id="100"/>
      <w:bookmarkEnd w:id="101"/>
      <w:bookmarkEnd w:id="102"/>
    </w:p>
    <w:p>
      <w:pPr>
        <w:wordWrap/>
        <w:snapToGrid w:val="0"/>
        <w:spacing w:line="360" w:lineRule="auto"/>
        <w:ind w:firstLine="465"/>
        <w:textAlignment w:val="auto"/>
        <w:rPr>
          <w:rFonts w:hint="eastAsia" w:ascii="仿宋" w:hAnsi="仿宋" w:eastAsia="仿宋" w:cs="仿宋"/>
          <w:color w:val="000000"/>
          <w:szCs w:val="24"/>
        </w:rPr>
      </w:pPr>
      <w:bookmarkStart w:id="103" w:name="_Toc4352254"/>
      <w:bookmarkStart w:id="104" w:name="_Toc4354779"/>
      <w:r>
        <w:rPr>
          <w:rFonts w:hint="eastAsia" w:ascii="仿宋" w:hAnsi="仿宋" w:eastAsia="仿宋" w:cs="仿宋"/>
          <w:color w:val="000000"/>
          <w:szCs w:val="24"/>
        </w:rPr>
        <w:t>1.1甲方（需方）即采购人，是指通过竞争性磋商采购，接受合同货物及服务的各级国家机关、事业单位和团体组织。</w:t>
      </w:r>
      <w:bookmarkEnd w:id="103"/>
      <w:bookmarkEnd w:id="104"/>
    </w:p>
    <w:p>
      <w:pPr>
        <w:wordWrap/>
        <w:snapToGrid w:val="0"/>
        <w:spacing w:line="360" w:lineRule="auto"/>
        <w:ind w:firstLine="465"/>
        <w:textAlignment w:val="auto"/>
        <w:rPr>
          <w:rFonts w:hint="eastAsia" w:ascii="仿宋" w:hAnsi="仿宋" w:eastAsia="仿宋" w:cs="仿宋"/>
          <w:color w:val="000000"/>
          <w:szCs w:val="24"/>
        </w:rPr>
      </w:pPr>
      <w:bookmarkStart w:id="105" w:name="_Toc4352255"/>
      <w:bookmarkStart w:id="106" w:name="_Toc4354780"/>
      <w:r>
        <w:rPr>
          <w:rFonts w:hint="eastAsia" w:ascii="仿宋" w:hAnsi="仿宋" w:eastAsia="仿宋" w:cs="仿宋"/>
          <w:color w:val="000000"/>
          <w:szCs w:val="24"/>
        </w:rPr>
        <w:t>1.2乙方（供方）即成交服务商，是指成交后提供合同服务的自然人、法人及其他组织。</w:t>
      </w:r>
      <w:bookmarkEnd w:id="105"/>
      <w:bookmarkEnd w:id="106"/>
    </w:p>
    <w:p>
      <w:pPr>
        <w:wordWrap/>
        <w:snapToGrid w:val="0"/>
        <w:spacing w:line="360" w:lineRule="auto"/>
        <w:ind w:firstLine="465"/>
        <w:textAlignment w:val="auto"/>
        <w:rPr>
          <w:rFonts w:hint="eastAsia" w:ascii="仿宋" w:hAnsi="仿宋" w:eastAsia="仿宋" w:cs="仿宋"/>
          <w:color w:val="000000"/>
          <w:szCs w:val="24"/>
        </w:rPr>
      </w:pPr>
      <w:bookmarkStart w:id="107" w:name="_Toc4352256"/>
      <w:bookmarkStart w:id="108" w:name="_Toc4354781"/>
      <w:r>
        <w:rPr>
          <w:rFonts w:hint="eastAsia" w:ascii="仿宋" w:hAnsi="仿宋" w:eastAsia="仿宋" w:cs="仿宋"/>
          <w:color w:val="000000"/>
          <w:szCs w:val="24"/>
        </w:rPr>
        <w:t>1.3合同是指由甲乙双方按照竞争性磋商文件和响应文件的实质性内容，通过协商一致达成的书面协议。</w:t>
      </w:r>
      <w:bookmarkEnd w:id="107"/>
      <w:bookmarkEnd w:id="108"/>
    </w:p>
    <w:p>
      <w:pPr>
        <w:wordWrap/>
        <w:snapToGrid w:val="0"/>
        <w:spacing w:line="360" w:lineRule="auto"/>
        <w:ind w:firstLine="465"/>
        <w:textAlignment w:val="auto"/>
        <w:rPr>
          <w:rFonts w:hint="eastAsia" w:ascii="仿宋" w:hAnsi="仿宋" w:eastAsia="仿宋" w:cs="仿宋"/>
          <w:color w:val="000000"/>
          <w:szCs w:val="24"/>
        </w:rPr>
      </w:pPr>
      <w:bookmarkStart w:id="109" w:name="_Toc4354782"/>
      <w:bookmarkStart w:id="110" w:name="_Toc4352257"/>
      <w:r>
        <w:rPr>
          <w:rFonts w:hint="eastAsia" w:ascii="仿宋" w:hAnsi="仿宋" w:eastAsia="仿宋" w:cs="仿宋"/>
          <w:color w:val="000000"/>
          <w:szCs w:val="24"/>
        </w:rPr>
        <w:t>1.4合同价格指以成交价格为依据，在供方全面履行合同义务后，需方（或财政部门）应支付给供方的金额。</w:t>
      </w:r>
      <w:bookmarkEnd w:id="109"/>
      <w:bookmarkEnd w:id="110"/>
    </w:p>
    <w:p>
      <w:pPr>
        <w:wordWrap/>
        <w:snapToGrid w:val="0"/>
        <w:spacing w:line="360" w:lineRule="auto"/>
        <w:ind w:firstLine="465"/>
        <w:textAlignment w:val="auto"/>
        <w:rPr>
          <w:rFonts w:hint="eastAsia" w:ascii="仿宋" w:hAnsi="仿宋" w:eastAsia="仿宋" w:cs="仿宋"/>
          <w:color w:val="000000"/>
          <w:szCs w:val="24"/>
        </w:rPr>
      </w:pPr>
      <w:bookmarkStart w:id="111" w:name="_Toc4354783"/>
      <w:bookmarkStart w:id="112" w:name="_Toc4352258"/>
      <w:r>
        <w:rPr>
          <w:rFonts w:hint="eastAsia" w:ascii="仿宋" w:hAnsi="仿宋" w:eastAsia="仿宋" w:cs="仿宋"/>
          <w:color w:val="000000"/>
          <w:szCs w:val="24"/>
        </w:rPr>
        <w:t>1.5技术资料是指合同服务及其相关的检验、验收等文件（包括图纸、各种文字说明、标准）。</w:t>
      </w:r>
      <w:bookmarkEnd w:id="111"/>
      <w:bookmarkEnd w:id="112"/>
    </w:p>
    <w:p>
      <w:pPr>
        <w:wordWrap/>
        <w:snapToGrid w:val="0"/>
        <w:spacing w:line="360" w:lineRule="auto"/>
        <w:ind w:firstLine="465"/>
        <w:textAlignment w:val="auto"/>
        <w:rPr>
          <w:rFonts w:hint="eastAsia" w:ascii="仿宋" w:hAnsi="仿宋" w:eastAsia="仿宋" w:cs="仿宋"/>
          <w:color w:val="000000"/>
          <w:szCs w:val="24"/>
        </w:rPr>
      </w:pPr>
      <w:bookmarkStart w:id="113" w:name="_Toc4352259"/>
      <w:bookmarkStart w:id="114" w:name="_Toc4354784"/>
      <w:r>
        <w:rPr>
          <w:rFonts w:hint="eastAsia" w:ascii="仿宋" w:hAnsi="仿宋" w:eastAsia="仿宋" w:cs="仿宋"/>
          <w:color w:val="000000"/>
          <w:szCs w:val="24"/>
        </w:rPr>
        <w:t>2、合同内容</w:t>
      </w:r>
      <w:bookmarkEnd w:id="113"/>
      <w:bookmarkEnd w:id="114"/>
    </w:p>
    <w:p>
      <w:pPr>
        <w:wordWrap/>
        <w:snapToGrid w:val="0"/>
        <w:spacing w:line="360" w:lineRule="auto"/>
        <w:ind w:firstLine="465"/>
        <w:textAlignment w:val="auto"/>
        <w:rPr>
          <w:rFonts w:hint="eastAsia" w:ascii="仿宋" w:hAnsi="仿宋" w:eastAsia="仿宋" w:cs="仿宋"/>
          <w:color w:val="000000"/>
          <w:szCs w:val="24"/>
        </w:rPr>
      </w:pPr>
      <w:bookmarkStart w:id="115" w:name="_Toc4354785"/>
      <w:bookmarkStart w:id="116" w:name="_Toc4352260"/>
      <w:r>
        <w:rPr>
          <w:rFonts w:hint="eastAsia" w:ascii="仿宋" w:hAnsi="仿宋" w:eastAsia="仿宋" w:cs="仿宋"/>
          <w:color w:val="000000"/>
          <w:szCs w:val="24"/>
        </w:rPr>
        <w:t>合同包括以下内容：服务内容、实施时间、质量保证、数量（单位）等内容。</w:t>
      </w:r>
      <w:bookmarkEnd w:id="115"/>
      <w:bookmarkEnd w:id="116"/>
    </w:p>
    <w:p>
      <w:pPr>
        <w:wordWrap/>
        <w:snapToGrid w:val="0"/>
        <w:spacing w:line="360" w:lineRule="auto"/>
        <w:ind w:firstLine="465"/>
        <w:textAlignment w:val="auto"/>
        <w:rPr>
          <w:rFonts w:hint="eastAsia" w:ascii="仿宋" w:hAnsi="仿宋" w:eastAsia="仿宋" w:cs="仿宋"/>
          <w:color w:val="000000"/>
          <w:szCs w:val="24"/>
        </w:rPr>
      </w:pPr>
      <w:bookmarkStart w:id="117" w:name="_Toc4352261"/>
      <w:bookmarkStart w:id="118" w:name="_Toc4354786"/>
      <w:r>
        <w:rPr>
          <w:rFonts w:hint="eastAsia" w:ascii="仿宋" w:hAnsi="仿宋" w:eastAsia="仿宋" w:cs="仿宋"/>
          <w:color w:val="000000"/>
          <w:szCs w:val="24"/>
        </w:rPr>
        <w:t>3、合同价格</w:t>
      </w:r>
      <w:bookmarkEnd w:id="117"/>
      <w:bookmarkEnd w:id="118"/>
    </w:p>
    <w:p>
      <w:pPr>
        <w:wordWrap/>
        <w:snapToGrid w:val="0"/>
        <w:spacing w:line="360" w:lineRule="auto"/>
        <w:ind w:firstLine="465"/>
        <w:textAlignment w:val="auto"/>
        <w:rPr>
          <w:rFonts w:hint="eastAsia" w:ascii="仿宋" w:hAnsi="仿宋" w:eastAsia="仿宋" w:cs="仿宋"/>
          <w:color w:val="000000"/>
          <w:szCs w:val="24"/>
        </w:rPr>
      </w:pPr>
      <w:bookmarkStart w:id="119" w:name="_Toc4352262"/>
      <w:bookmarkStart w:id="120" w:name="_Toc4354787"/>
      <w:r>
        <w:rPr>
          <w:rFonts w:hint="eastAsia" w:ascii="仿宋" w:hAnsi="仿宋" w:eastAsia="仿宋" w:cs="仿宋"/>
          <w:color w:val="000000"/>
          <w:szCs w:val="24"/>
        </w:rPr>
        <w:t>3.1合同价格即合同总价。</w:t>
      </w:r>
      <w:bookmarkEnd w:id="119"/>
      <w:bookmarkEnd w:id="120"/>
    </w:p>
    <w:p>
      <w:pPr>
        <w:wordWrap/>
        <w:snapToGrid w:val="0"/>
        <w:spacing w:line="360" w:lineRule="auto"/>
        <w:ind w:firstLine="465"/>
        <w:textAlignment w:val="auto"/>
        <w:rPr>
          <w:rFonts w:hint="eastAsia" w:ascii="仿宋" w:hAnsi="仿宋" w:eastAsia="仿宋" w:cs="仿宋"/>
          <w:color w:val="000000"/>
          <w:szCs w:val="24"/>
        </w:rPr>
      </w:pPr>
      <w:bookmarkStart w:id="121" w:name="_Toc4352263"/>
      <w:bookmarkStart w:id="122" w:name="_Toc4354788"/>
      <w:r>
        <w:rPr>
          <w:rFonts w:hint="eastAsia" w:ascii="仿宋" w:hAnsi="仿宋" w:eastAsia="仿宋" w:cs="仿宋"/>
          <w:color w:val="000000"/>
          <w:szCs w:val="24"/>
        </w:rPr>
        <w:t>3.2合同价格包括完成本项目全部工作任务所需的服务费、人工费、差旅费以及服务商应缴纳的税费等全部费用。因乙方自身原因造成漏报、少报皆由其自行承担责任，甲方不再补偿。</w:t>
      </w:r>
      <w:bookmarkEnd w:id="121"/>
      <w:bookmarkEnd w:id="122"/>
    </w:p>
    <w:p>
      <w:pPr>
        <w:wordWrap/>
        <w:snapToGrid w:val="0"/>
        <w:spacing w:line="360" w:lineRule="auto"/>
        <w:ind w:firstLine="465"/>
        <w:textAlignment w:val="auto"/>
        <w:rPr>
          <w:rFonts w:hint="eastAsia" w:ascii="仿宋" w:hAnsi="仿宋" w:eastAsia="仿宋" w:cs="仿宋"/>
          <w:color w:val="000000"/>
          <w:szCs w:val="24"/>
        </w:rPr>
      </w:pPr>
      <w:bookmarkStart w:id="123" w:name="_Toc4352264"/>
      <w:bookmarkStart w:id="124" w:name="_Toc4354789"/>
      <w:r>
        <w:rPr>
          <w:rFonts w:hint="eastAsia" w:ascii="仿宋" w:hAnsi="仿宋" w:eastAsia="仿宋" w:cs="仿宋"/>
          <w:color w:val="000000"/>
          <w:szCs w:val="24"/>
        </w:rPr>
        <w:t>4、转包或分包</w:t>
      </w:r>
      <w:bookmarkEnd w:id="123"/>
      <w:bookmarkEnd w:id="124"/>
    </w:p>
    <w:p>
      <w:pPr>
        <w:wordWrap/>
        <w:snapToGrid w:val="0"/>
        <w:spacing w:line="360" w:lineRule="auto"/>
        <w:ind w:firstLine="465"/>
        <w:textAlignment w:val="auto"/>
        <w:rPr>
          <w:rFonts w:hint="eastAsia" w:ascii="仿宋" w:hAnsi="仿宋" w:eastAsia="仿宋" w:cs="仿宋"/>
          <w:color w:val="000000"/>
          <w:szCs w:val="24"/>
        </w:rPr>
      </w:pPr>
      <w:bookmarkStart w:id="125" w:name="_Toc4354790"/>
      <w:bookmarkStart w:id="126" w:name="_Toc4352265"/>
      <w:r>
        <w:rPr>
          <w:rFonts w:hint="eastAsia" w:ascii="仿宋" w:hAnsi="仿宋" w:eastAsia="仿宋" w:cs="仿宋"/>
          <w:color w:val="000000"/>
          <w:szCs w:val="24"/>
        </w:rPr>
        <w:t>4.1本合同范围的服务，应由乙方直接供应，不得转让他人供应；</w:t>
      </w:r>
      <w:bookmarkEnd w:id="125"/>
      <w:bookmarkEnd w:id="126"/>
    </w:p>
    <w:p>
      <w:pPr>
        <w:wordWrap/>
        <w:snapToGrid w:val="0"/>
        <w:spacing w:line="360" w:lineRule="auto"/>
        <w:ind w:firstLine="465"/>
        <w:textAlignment w:val="auto"/>
        <w:rPr>
          <w:rFonts w:hint="eastAsia" w:ascii="仿宋" w:hAnsi="仿宋" w:eastAsia="仿宋" w:cs="仿宋"/>
          <w:color w:val="000000"/>
          <w:szCs w:val="24"/>
        </w:rPr>
      </w:pPr>
      <w:bookmarkStart w:id="127" w:name="_Toc4352266"/>
      <w:bookmarkStart w:id="128" w:name="_Toc4354791"/>
      <w:r>
        <w:rPr>
          <w:rFonts w:hint="eastAsia" w:ascii="仿宋" w:hAnsi="仿宋" w:eastAsia="仿宋" w:cs="仿宋"/>
          <w:color w:val="000000"/>
          <w:szCs w:val="24"/>
        </w:rPr>
        <w:t>4.2非经甲方书面同意，乙方不得将本合同范围的服务全部或部分分包给他人供应；</w:t>
      </w:r>
      <w:bookmarkEnd w:id="127"/>
      <w:bookmarkEnd w:id="128"/>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5、质量保证及售后服务</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5.1乙方应按竞争性磋商文件以及合同约定的服务内容、技术要求、质量标准向甲方提供资产清查服务及相关配合服务。</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5.2合作期间，设专人对接工作，并保证周末及其他任何节假日24小时可联络到对接人。</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5.3在服务期内，乙方应对项目运营实施期间出现的质量及技术等问题负责处理解决并承担一切费用。</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6、付款</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6.1本合同使用货币币制如未作特别说明均为人民币。</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6.2付款方式：银行转账、现金支票。</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6.3付款方法：同本项目“第三篇  采购商务需求”中关于付款方式的约定。</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7、检查验收</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供方所提供的各种采购内容质量指标不得低于合同要求指标，采购内容质量如检测不合格，除供方负责赔偿需方一切损失外，并按照相关规定进行处罚，承担相应责任。</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8、索赔</w:t>
      </w:r>
    </w:p>
    <w:p>
      <w:pPr>
        <w:wordWrap/>
        <w:snapToGrid w:val="0"/>
        <w:spacing w:line="360" w:lineRule="auto"/>
        <w:ind w:firstLine="465"/>
        <w:textAlignment w:val="auto"/>
        <w:rPr>
          <w:rFonts w:ascii="仿宋" w:hAnsi="仿宋" w:eastAsia="仿宋" w:cs="仿宋"/>
          <w:color w:val="000000"/>
          <w:szCs w:val="24"/>
        </w:rPr>
      </w:pPr>
      <w:r>
        <w:rPr>
          <w:rFonts w:hint="eastAsia" w:ascii="仿宋" w:hAnsi="仿宋" w:eastAsia="仿宋" w:cs="仿宋"/>
          <w:color w:val="000000"/>
          <w:szCs w:val="24"/>
        </w:rPr>
        <w:t>成交服务商提供的服务未达到采购文件规定要求，由成交服务商承担一切责任。</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9、知识产权</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9.1甲方在中华人民共和国境内使用乙方提供的服务时免受第三方提出的侵犯其专利权或其它知识产权的起诉。如果第三方提出侵权指控，乙方承担由此而引起的一切法律责任和费用。</w:t>
      </w:r>
    </w:p>
    <w:p>
      <w:pPr>
        <w:wordWrap/>
        <w:snapToGrid w:val="0"/>
        <w:spacing w:line="360" w:lineRule="auto"/>
        <w:ind w:firstLine="465"/>
        <w:textAlignment w:val="auto"/>
        <w:rPr>
          <w:rFonts w:hint="eastAsia" w:ascii="仿宋" w:hAnsi="仿宋" w:eastAsia="仿宋" w:cs="仿宋"/>
          <w:color w:val="000000"/>
          <w:szCs w:val="24"/>
        </w:rPr>
      </w:pPr>
      <w:r>
        <w:rPr>
          <w:rFonts w:hint="eastAsia" w:ascii="仿宋" w:hAnsi="仿宋" w:eastAsia="仿宋" w:cs="仿宋"/>
          <w:color w:val="000000"/>
          <w:szCs w:val="24"/>
        </w:rPr>
        <w:t>9.2若涉及软件开发等服务类项目知识产权的，知识产权归采购人所有。</w:t>
      </w:r>
    </w:p>
    <w:p>
      <w:pPr>
        <w:wordWrap/>
        <w:snapToGrid w:val="0"/>
        <w:spacing w:line="360" w:lineRule="auto"/>
        <w:ind w:firstLine="465"/>
        <w:textAlignment w:val="auto"/>
        <w:rPr>
          <w:rFonts w:hint="eastAsia" w:ascii="仿宋" w:hAnsi="仿宋" w:eastAsia="仿宋" w:cs="仿宋"/>
          <w:color w:val="000000"/>
          <w:szCs w:val="24"/>
        </w:rPr>
      </w:pPr>
      <w:bookmarkStart w:id="129" w:name="_Toc4352267"/>
      <w:bookmarkStart w:id="130" w:name="_Toc4354792"/>
      <w:r>
        <w:rPr>
          <w:rFonts w:hint="eastAsia" w:ascii="仿宋" w:hAnsi="仿宋" w:eastAsia="仿宋" w:cs="仿宋"/>
          <w:color w:val="000000"/>
          <w:szCs w:val="24"/>
        </w:rPr>
        <w:t>10、合同争议的解决</w:t>
      </w:r>
      <w:bookmarkEnd w:id="129"/>
      <w:bookmarkEnd w:id="130"/>
    </w:p>
    <w:p>
      <w:pPr>
        <w:wordWrap/>
        <w:snapToGrid w:val="0"/>
        <w:spacing w:line="360" w:lineRule="auto"/>
        <w:ind w:firstLine="465"/>
        <w:textAlignment w:val="auto"/>
        <w:rPr>
          <w:rFonts w:hint="eastAsia" w:ascii="仿宋" w:hAnsi="仿宋" w:eastAsia="仿宋" w:cs="仿宋"/>
          <w:color w:val="000000"/>
          <w:szCs w:val="24"/>
        </w:rPr>
      </w:pPr>
      <w:bookmarkStart w:id="131" w:name="_Toc4354793"/>
      <w:bookmarkStart w:id="132" w:name="_Toc4352268"/>
      <w:r>
        <w:rPr>
          <w:rFonts w:hint="eastAsia" w:ascii="仿宋" w:hAnsi="仿宋" w:eastAsia="仿宋" w:cs="仿宋"/>
          <w:color w:val="000000"/>
          <w:szCs w:val="24"/>
        </w:rPr>
        <w:t>10.1当事人友好协商达成一致</w:t>
      </w:r>
      <w:bookmarkEnd w:id="131"/>
      <w:bookmarkEnd w:id="132"/>
    </w:p>
    <w:p>
      <w:pPr>
        <w:wordWrap/>
        <w:snapToGrid w:val="0"/>
        <w:spacing w:line="360" w:lineRule="auto"/>
        <w:ind w:firstLine="465"/>
        <w:textAlignment w:val="auto"/>
        <w:rPr>
          <w:rFonts w:hint="eastAsia" w:ascii="仿宋" w:hAnsi="仿宋" w:eastAsia="仿宋" w:cs="仿宋"/>
          <w:color w:val="000000"/>
          <w:szCs w:val="24"/>
        </w:rPr>
      </w:pPr>
      <w:bookmarkStart w:id="133" w:name="_Toc4352269"/>
      <w:bookmarkStart w:id="134" w:name="_Toc4354794"/>
      <w:r>
        <w:rPr>
          <w:rFonts w:hint="eastAsia" w:ascii="仿宋" w:hAnsi="仿宋" w:eastAsia="仿宋" w:cs="仿宋"/>
          <w:color w:val="000000"/>
          <w:szCs w:val="24"/>
        </w:rPr>
        <w:t>10.2在60天内当事人协商不能达成协议的，可提请采购人重庆仲裁委员会仲裁。</w:t>
      </w:r>
      <w:bookmarkEnd w:id="133"/>
      <w:bookmarkEnd w:id="134"/>
    </w:p>
    <w:p>
      <w:pPr>
        <w:wordWrap/>
        <w:snapToGrid w:val="0"/>
        <w:spacing w:line="360" w:lineRule="auto"/>
        <w:ind w:firstLine="465"/>
        <w:textAlignment w:val="auto"/>
        <w:rPr>
          <w:rFonts w:hint="eastAsia" w:ascii="仿宋" w:hAnsi="仿宋" w:eastAsia="仿宋" w:cs="仿宋"/>
          <w:color w:val="000000"/>
          <w:szCs w:val="24"/>
        </w:rPr>
      </w:pPr>
      <w:bookmarkStart w:id="135" w:name="_Toc4352270"/>
      <w:bookmarkStart w:id="136" w:name="_Toc4354795"/>
      <w:r>
        <w:rPr>
          <w:rFonts w:hint="eastAsia" w:ascii="仿宋" w:hAnsi="仿宋" w:eastAsia="仿宋" w:cs="仿宋"/>
          <w:color w:val="000000"/>
          <w:szCs w:val="24"/>
        </w:rPr>
        <w:t>11、违约责任</w:t>
      </w:r>
      <w:bookmarkEnd w:id="135"/>
      <w:bookmarkEnd w:id="136"/>
    </w:p>
    <w:p>
      <w:pPr>
        <w:wordWrap/>
        <w:snapToGrid w:val="0"/>
        <w:spacing w:line="360" w:lineRule="auto"/>
        <w:ind w:firstLine="465"/>
        <w:textAlignment w:val="auto"/>
        <w:rPr>
          <w:rFonts w:hint="eastAsia" w:ascii="仿宋" w:hAnsi="仿宋" w:eastAsia="仿宋" w:cs="仿宋"/>
          <w:color w:val="000000"/>
          <w:szCs w:val="24"/>
        </w:rPr>
      </w:pPr>
      <w:bookmarkStart w:id="137" w:name="_Toc4352271"/>
      <w:bookmarkStart w:id="138" w:name="_Toc4354796"/>
      <w:r>
        <w:rPr>
          <w:rFonts w:hint="eastAsia" w:ascii="仿宋" w:hAnsi="仿宋" w:eastAsia="仿宋" w:cs="仿宋"/>
          <w:color w:val="000000"/>
          <w:szCs w:val="24"/>
        </w:rPr>
        <w:t>按《中华人民共和国合同法》、《中华人民共和国政府采购法》有关条款，或由供需双方约定。</w:t>
      </w:r>
      <w:bookmarkEnd w:id="137"/>
      <w:bookmarkEnd w:id="138"/>
    </w:p>
    <w:p>
      <w:pPr>
        <w:wordWrap/>
        <w:snapToGrid w:val="0"/>
        <w:spacing w:line="360" w:lineRule="auto"/>
        <w:ind w:firstLine="465"/>
        <w:textAlignment w:val="auto"/>
        <w:rPr>
          <w:rFonts w:hint="eastAsia" w:ascii="仿宋" w:hAnsi="仿宋" w:eastAsia="仿宋" w:cs="仿宋"/>
          <w:color w:val="000000"/>
          <w:szCs w:val="24"/>
        </w:rPr>
      </w:pPr>
      <w:bookmarkStart w:id="139" w:name="_Toc4354797"/>
      <w:bookmarkStart w:id="140" w:name="_Toc4352272"/>
      <w:r>
        <w:rPr>
          <w:rFonts w:hint="eastAsia" w:ascii="仿宋" w:hAnsi="仿宋" w:eastAsia="仿宋" w:cs="仿宋"/>
          <w:color w:val="000000"/>
          <w:szCs w:val="24"/>
        </w:rPr>
        <w:t>12、合同生效及其它</w:t>
      </w:r>
      <w:bookmarkEnd w:id="139"/>
      <w:bookmarkEnd w:id="140"/>
    </w:p>
    <w:p>
      <w:pPr>
        <w:wordWrap/>
        <w:snapToGrid w:val="0"/>
        <w:spacing w:line="360" w:lineRule="auto"/>
        <w:ind w:firstLine="465"/>
        <w:textAlignment w:val="auto"/>
        <w:rPr>
          <w:rFonts w:hint="eastAsia" w:ascii="仿宋" w:hAnsi="仿宋" w:eastAsia="仿宋" w:cs="仿宋"/>
          <w:color w:val="000000"/>
          <w:szCs w:val="24"/>
        </w:rPr>
      </w:pPr>
      <w:bookmarkStart w:id="141" w:name="_Toc4352273"/>
      <w:bookmarkStart w:id="142" w:name="_Toc4354798"/>
      <w:r>
        <w:rPr>
          <w:rFonts w:hint="eastAsia" w:ascii="仿宋" w:hAnsi="仿宋" w:eastAsia="仿宋" w:cs="仿宋"/>
          <w:color w:val="000000"/>
          <w:szCs w:val="24"/>
        </w:rPr>
        <w:t>12.1合同生效及其效力应符合《中华人民共和国合同法》有关规定。</w:t>
      </w:r>
      <w:bookmarkEnd w:id="141"/>
      <w:bookmarkEnd w:id="142"/>
    </w:p>
    <w:p>
      <w:pPr>
        <w:wordWrap/>
        <w:snapToGrid w:val="0"/>
        <w:spacing w:line="360" w:lineRule="auto"/>
        <w:ind w:firstLine="465"/>
        <w:textAlignment w:val="auto"/>
        <w:rPr>
          <w:rFonts w:hint="eastAsia" w:ascii="仿宋" w:hAnsi="仿宋" w:eastAsia="仿宋" w:cs="仿宋"/>
          <w:color w:val="000000"/>
          <w:szCs w:val="24"/>
        </w:rPr>
      </w:pPr>
      <w:bookmarkStart w:id="143" w:name="_Toc4352274"/>
      <w:bookmarkStart w:id="144" w:name="_Toc4354799"/>
      <w:r>
        <w:rPr>
          <w:rFonts w:hint="eastAsia" w:ascii="仿宋" w:hAnsi="仿宋" w:eastAsia="仿宋" w:cs="仿宋"/>
          <w:color w:val="000000"/>
          <w:szCs w:val="24"/>
        </w:rPr>
        <w:t>12.2合同应经当事人单位负责人或委托代理人签字，加盖双方合同专用章或公章。</w:t>
      </w:r>
      <w:bookmarkEnd w:id="143"/>
      <w:bookmarkEnd w:id="144"/>
    </w:p>
    <w:p>
      <w:pPr>
        <w:wordWrap/>
        <w:snapToGrid w:val="0"/>
        <w:spacing w:line="360" w:lineRule="auto"/>
        <w:ind w:firstLine="465"/>
        <w:textAlignment w:val="auto"/>
        <w:rPr>
          <w:rFonts w:hint="eastAsia" w:ascii="仿宋" w:hAnsi="仿宋" w:eastAsia="仿宋" w:cs="仿宋"/>
          <w:color w:val="000000"/>
          <w:szCs w:val="24"/>
        </w:rPr>
      </w:pPr>
      <w:bookmarkStart w:id="145" w:name="_Toc4354800"/>
      <w:bookmarkStart w:id="146" w:name="_Toc4352275"/>
      <w:r>
        <w:rPr>
          <w:rFonts w:hint="eastAsia" w:ascii="仿宋" w:hAnsi="仿宋" w:eastAsia="仿宋" w:cs="仿宋"/>
          <w:color w:val="000000"/>
          <w:szCs w:val="24"/>
        </w:rPr>
        <w:t>12.3合同所包括附件，是合同不可分割的一部分，具有同等法</w:t>
      </w:r>
      <w:bookmarkStart w:id="161" w:name="_GoBack"/>
      <w:bookmarkEnd w:id="161"/>
      <w:r>
        <w:rPr>
          <w:rFonts w:hint="eastAsia" w:ascii="仿宋" w:hAnsi="仿宋" w:eastAsia="仿宋" w:cs="仿宋"/>
          <w:color w:val="000000"/>
          <w:szCs w:val="24"/>
        </w:rPr>
        <w:t>律效力。</w:t>
      </w:r>
      <w:bookmarkEnd w:id="145"/>
      <w:bookmarkEnd w:id="146"/>
    </w:p>
    <w:p>
      <w:pPr>
        <w:wordWrap/>
        <w:snapToGrid w:val="0"/>
        <w:spacing w:line="360" w:lineRule="auto"/>
        <w:ind w:firstLine="465"/>
        <w:textAlignment w:val="auto"/>
        <w:rPr>
          <w:rFonts w:hint="eastAsia" w:ascii="仿宋" w:hAnsi="仿宋" w:eastAsia="仿宋" w:cs="仿宋"/>
          <w:color w:val="000000"/>
          <w:szCs w:val="24"/>
        </w:rPr>
      </w:pPr>
      <w:bookmarkStart w:id="147" w:name="_Toc4352276"/>
      <w:bookmarkStart w:id="148" w:name="_Toc4354801"/>
      <w:r>
        <w:rPr>
          <w:rFonts w:hint="eastAsia" w:ascii="仿宋" w:hAnsi="仿宋" w:eastAsia="仿宋" w:cs="仿宋"/>
          <w:color w:val="000000"/>
          <w:szCs w:val="24"/>
        </w:rPr>
        <w:t>12.4合同需提供担保的，按《中华人民共和国担保法》规定执行。</w:t>
      </w:r>
      <w:bookmarkEnd w:id="147"/>
      <w:bookmarkEnd w:id="148"/>
    </w:p>
    <w:p>
      <w:pPr>
        <w:wordWrap/>
        <w:snapToGrid w:val="0"/>
        <w:spacing w:line="360" w:lineRule="auto"/>
        <w:ind w:firstLine="465"/>
        <w:textAlignment w:val="auto"/>
        <w:rPr>
          <w:rFonts w:hint="eastAsia" w:ascii="仿宋" w:hAnsi="仿宋" w:eastAsia="仿宋" w:cs="仿宋"/>
          <w:color w:val="000000"/>
          <w:szCs w:val="24"/>
        </w:rPr>
      </w:pPr>
      <w:bookmarkStart w:id="149" w:name="_Toc4352277"/>
      <w:bookmarkStart w:id="150" w:name="_Toc4354802"/>
      <w:r>
        <w:rPr>
          <w:rFonts w:hint="eastAsia" w:ascii="仿宋" w:hAnsi="仿宋" w:eastAsia="仿宋" w:cs="仿宋"/>
          <w:color w:val="000000"/>
          <w:szCs w:val="24"/>
        </w:rPr>
        <w:t>12.5本合同条件未尽事宜依照《中华人民共和国合同法》，由供需双方共同协商确定。</w:t>
      </w:r>
      <w:bookmarkEnd w:id="149"/>
      <w:bookmarkEnd w:id="150"/>
    </w:p>
    <w:p>
      <w:pPr>
        <w:tabs>
          <w:tab w:val="left" w:pos="9000"/>
        </w:tabs>
        <w:wordWrap/>
        <w:spacing w:line="360" w:lineRule="auto"/>
        <w:jc w:val="center"/>
        <w:textAlignment w:val="auto"/>
        <w:rPr>
          <w:rFonts w:hint="eastAsia" w:ascii="仿宋" w:hAnsi="仿宋" w:eastAsia="仿宋" w:cs="仿宋"/>
          <w:color w:val="000000"/>
          <w:sz w:val="21"/>
          <w:szCs w:val="21"/>
        </w:rPr>
        <w:sectPr>
          <w:footerReference r:id="rId8" w:type="default"/>
          <w:pgSz w:w="11907" w:h="16840"/>
          <w:pgMar w:top="1134" w:right="1191" w:bottom="1134" w:left="1304" w:header="964" w:footer="992" w:gutter="0"/>
          <w:pgNumType w:fmt="numberInDash"/>
          <w:cols w:space="720" w:num="1"/>
          <w:docGrid w:linePitch="312" w:charSpace="0"/>
        </w:sectPr>
      </w:pPr>
      <w:bookmarkStart w:id="151" w:name="_Toc277084871"/>
      <w:bookmarkStart w:id="152" w:name="_Toc285722713"/>
      <w:bookmarkStart w:id="153" w:name="_Toc493506317"/>
      <w:r>
        <w:rPr>
          <w:rFonts w:hint="eastAsia"/>
          <w:color w:val="000000"/>
        </w:rPr>
        <w:br w:type="page"/>
      </w:r>
      <w:bookmarkEnd w:id="151"/>
      <w:bookmarkEnd w:id="152"/>
      <w:bookmarkEnd w:id="153"/>
    </w:p>
    <w:p>
      <w:pPr>
        <w:pStyle w:val="3"/>
        <w:wordWrap/>
        <w:spacing w:line="360" w:lineRule="auto"/>
        <w:textAlignment w:val="auto"/>
        <w:rPr>
          <w:rFonts w:hint="eastAsia"/>
          <w:b/>
          <w:color w:val="000000"/>
        </w:rPr>
      </w:pPr>
      <w:bookmarkStart w:id="154" w:name="_Hlt41879464"/>
      <w:bookmarkEnd w:id="154"/>
      <w:bookmarkStart w:id="155" w:name="_Toc12789072"/>
      <w:bookmarkStart w:id="156" w:name="_Toc12472"/>
      <w:bookmarkStart w:id="157" w:name="_Toc4354804"/>
      <w:bookmarkStart w:id="158" w:name="_Toc4352279"/>
      <w:bookmarkStart w:id="159" w:name="_Toc16562"/>
      <w:bookmarkStart w:id="160" w:name="_Toc23708"/>
      <w:r>
        <w:rPr>
          <w:rFonts w:hint="eastAsia"/>
          <w:b/>
          <w:color w:val="000000"/>
        </w:rPr>
        <w:t xml:space="preserve">第七篇  </w:t>
      </w:r>
      <w:bookmarkEnd w:id="155"/>
      <w:r>
        <w:rPr>
          <w:rFonts w:hint="eastAsia"/>
          <w:b/>
          <w:color w:val="000000"/>
        </w:rPr>
        <w:t>响应文件编制要求</w:t>
      </w:r>
      <w:bookmarkEnd w:id="156"/>
      <w:bookmarkEnd w:id="157"/>
      <w:bookmarkEnd w:id="158"/>
      <w:bookmarkEnd w:id="159"/>
      <w:bookmarkEnd w:id="160"/>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cs="仿宋"/>
          <w:color w:val="000000"/>
          <w:szCs w:val="24"/>
          <w:lang w:eastAsia="zh-CN"/>
        </w:rPr>
        <w:t>响应文件包括但不仅限于以下材料，以下材料均采用通用格式，并加盖公章。</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一、经济部分</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（一）竞争性磋商报价函</w:t>
      </w:r>
    </w:p>
    <w:p>
      <w:pPr>
        <w:wordWrap/>
        <w:spacing w:line="360" w:lineRule="auto"/>
        <w:ind w:firstLine="480" w:firstLineChars="200"/>
        <w:textAlignment w:val="auto"/>
        <w:rPr>
          <w:rFonts w:hint="default" w:ascii="仿宋" w:hAnsi="仿宋" w:eastAsia="仿宋" w:cs="仿宋"/>
          <w:color w:val="000000"/>
          <w:szCs w:val="24"/>
          <w:lang w:val="en-US" w:eastAsia="zh-CN"/>
        </w:rPr>
      </w:pPr>
      <w:r>
        <w:rPr>
          <w:rFonts w:hint="eastAsia" w:ascii="仿宋" w:hAnsi="仿宋" w:cs="仿宋"/>
          <w:color w:val="000000"/>
          <w:szCs w:val="24"/>
          <w:lang w:eastAsia="zh-CN"/>
        </w:rPr>
        <w:t>（</w:t>
      </w:r>
      <w:r>
        <w:rPr>
          <w:rFonts w:hint="eastAsia" w:ascii="仿宋" w:hAnsi="仿宋" w:cs="仿宋"/>
          <w:color w:val="000000"/>
          <w:szCs w:val="24"/>
          <w:lang w:val="en-US" w:eastAsia="zh-CN"/>
        </w:rPr>
        <w:t>二</w:t>
      </w:r>
      <w:r>
        <w:rPr>
          <w:rFonts w:hint="eastAsia" w:ascii="仿宋" w:hAnsi="仿宋" w:cs="仿宋"/>
          <w:color w:val="000000"/>
          <w:szCs w:val="24"/>
          <w:lang w:eastAsia="zh-CN"/>
        </w:rPr>
        <w:t>）</w:t>
      </w:r>
      <w:r>
        <w:rPr>
          <w:rFonts w:hint="eastAsia" w:ascii="仿宋" w:hAnsi="仿宋" w:cs="仿宋"/>
          <w:color w:val="000000"/>
          <w:szCs w:val="24"/>
          <w:lang w:val="en-US" w:eastAsia="zh-CN"/>
        </w:rPr>
        <w:t>明细报价表</w:t>
      </w:r>
    </w:p>
    <w:p>
      <w:pPr>
        <w:wordWrap/>
        <w:spacing w:line="360" w:lineRule="auto"/>
        <w:ind w:firstLine="480" w:firstLineChars="200"/>
        <w:textAlignment w:val="auto"/>
        <w:rPr>
          <w:rFonts w:ascii="仿宋" w:hAnsi="仿宋" w:eastAsia="仿宋" w:cs="仿宋"/>
          <w:color w:val="000000"/>
          <w:szCs w:val="24"/>
        </w:rPr>
      </w:pPr>
      <w:r>
        <w:rPr>
          <w:rFonts w:hint="eastAsia" w:ascii="仿宋" w:hAnsi="仿宋" w:eastAsia="仿宋" w:cs="仿宋"/>
          <w:color w:val="000000"/>
          <w:szCs w:val="24"/>
        </w:rPr>
        <w:t>（二）法定代表人身份证明书</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（三）法定代表人授权书</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二、技术部分</w:t>
      </w:r>
    </w:p>
    <w:p>
      <w:pPr>
        <w:wordWrap/>
        <w:spacing w:line="360" w:lineRule="auto"/>
        <w:ind w:firstLine="480" w:firstLineChars="200"/>
        <w:textAlignment w:val="auto"/>
        <w:rPr>
          <w:rFonts w:ascii="仿宋" w:hAnsi="仿宋" w:eastAsia="仿宋" w:cs="仿宋"/>
          <w:color w:val="000000"/>
          <w:szCs w:val="24"/>
        </w:rPr>
      </w:pPr>
      <w:r>
        <w:rPr>
          <w:rFonts w:hint="eastAsia" w:ascii="仿宋" w:hAnsi="仿宋" w:eastAsia="仿宋" w:cs="仿宋"/>
          <w:color w:val="000000"/>
          <w:szCs w:val="24"/>
        </w:rPr>
        <w:t>（一）技术响应偏离表</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（二）实施方案及人员配置情况</w:t>
      </w:r>
    </w:p>
    <w:p>
      <w:pPr>
        <w:wordWrap/>
        <w:spacing w:line="360" w:lineRule="auto"/>
        <w:ind w:firstLine="480" w:firstLineChars="200"/>
        <w:textAlignment w:val="auto"/>
        <w:rPr>
          <w:rFonts w:ascii="仿宋" w:hAnsi="仿宋" w:eastAsia="仿宋" w:cs="仿宋"/>
          <w:color w:val="000000"/>
          <w:szCs w:val="24"/>
        </w:rPr>
      </w:pPr>
      <w:r>
        <w:rPr>
          <w:rFonts w:hint="eastAsia" w:ascii="仿宋" w:hAnsi="仿宋" w:eastAsia="仿宋" w:cs="仿宋"/>
          <w:color w:val="000000"/>
          <w:szCs w:val="24"/>
        </w:rPr>
        <w:t>（三）人员简介</w:t>
      </w:r>
    </w:p>
    <w:p>
      <w:pPr>
        <w:wordWrap/>
        <w:spacing w:line="360" w:lineRule="auto"/>
        <w:ind w:firstLine="480" w:firstLineChars="200"/>
        <w:textAlignment w:val="auto"/>
        <w:rPr>
          <w:rFonts w:ascii="仿宋" w:hAnsi="仿宋" w:eastAsia="仿宋" w:cs="仿宋"/>
          <w:color w:val="000000"/>
          <w:szCs w:val="24"/>
        </w:rPr>
      </w:pPr>
      <w:r>
        <w:rPr>
          <w:rFonts w:hint="eastAsia" w:ascii="仿宋" w:hAnsi="仿宋" w:eastAsia="仿宋" w:cs="仿宋"/>
          <w:color w:val="000000"/>
          <w:szCs w:val="24"/>
        </w:rPr>
        <w:t>（四）学历证、奖项、相关工作经验证明材料</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三、商务部分</w:t>
      </w:r>
    </w:p>
    <w:p>
      <w:pPr>
        <w:wordWrap/>
        <w:spacing w:line="360" w:lineRule="auto"/>
        <w:ind w:firstLine="480" w:firstLineChars="200"/>
        <w:textAlignment w:val="auto"/>
        <w:rPr>
          <w:rFonts w:ascii="仿宋" w:hAnsi="仿宋" w:eastAsia="仿宋" w:cs="仿宋"/>
          <w:color w:val="000000"/>
          <w:szCs w:val="24"/>
        </w:rPr>
      </w:pPr>
      <w:r>
        <w:rPr>
          <w:rFonts w:hint="eastAsia" w:ascii="仿宋" w:hAnsi="仿宋" w:eastAsia="仿宋" w:cs="仿宋"/>
          <w:color w:val="000000"/>
          <w:szCs w:val="24"/>
        </w:rPr>
        <w:t>（一）商务响应偏离表</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（二）服务商</w:t>
      </w:r>
      <w:r>
        <w:rPr>
          <w:rFonts w:hint="eastAsia" w:ascii="仿宋" w:hAnsi="仿宋" w:cs="仿宋"/>
          <w:color w:val="000000"/>
          <w:szCs w:val="24"/>
          <w:lang w:eastAsia="zh-CN"/>
        </w:rPr>
        <w:t>业绩简介及</w:t>
      </w:r>
      <w:r>
        <w:rPr>
          <w:rFonts w:hint="eastAsia" w:ascii="仿宋" w:hAnsi="仿宋" w:eastAsia="仿宋" w:cs="仿宋"/>
          <w:color w:val="000000"/>
          <w:szCs w:val="24"/>
        </w:rPr>
        <w:t>证明材料</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w:t>
      </w:r>
      <w:r>
        <w:rPr>
          <w:rFonts w:hint="eastAsia" w:ascii="仿宋" w:hAnsi="仿宋" w:cs="仿宋"/>
          <w:color w:val="000000"/>
          <w:szCs w:val="24"/>
          <w:lang w:eastAsia="zh-CN"/>
        </w:rPr>
        <w:t>三</w:t>
      </w:r>
      <w:r>
        <w:rPr>
          <w:rFonts w:hint="eastAsia" w:ascii="仿宋" w:hAnsi="仿宋" w:eastAsia="仿宋" w:cs="仿宋"/>
          <w:color w:val="000000"/>
          <w:szCs w:val="24"/>
        </w:rPr>
        <w:t>）合作研究业绩证明材料（服务商在</w:t>
      </w:r>
      <w:r>
        <w:rPr>
          <w:rFonts w:hint="eastAsia" w:ascii="仿宋" w:hAnsi="仿宋" w:cs="仿宋"/>
          <w:color w:val="000000"/>
          <w:szCs w:val="24"/>
          <w:lang w:eastAsia="zh-CN"/>
        </w:rPr>
        <w:t>近两年内</w:t>
      </w:r>
      <w:r>
        <w:rPr>
          <w:rFonts w:hint="eastAsia" w:ascii="仿宋" w:hAnsi="仿宋" w:eastAsia="仿宋" w:cs="仿宋"/>
          <w:color w:val="000000"/>
          <w:szCs w:val="24"/>
        </w:rPr>
        <w:t>与政府及协助管理部门合作出具相关调研文件、材料、刊物）</w:t>
      </w:r>
    </w:p>
    <w:p>
      <w:pPr>
        <w:wordWrap/>
        <w:spacing w:line="360" w:lineRule="auto"/>
        <w:ind w:firstLine="480" w:firstLineChars="200"/>
        <w:textAlignment w:val="auto"/>
        <w:rPr>
          <w:rFonts w:hint="eastAsia" w:ascii="仿宋" w:hAnsi="仿宋" w:eastAsia="仿宋" w:cs="仿宋"/>
          <w:color w:val="000000"/>
          <w:szCs w:val="24"/>
          <w:lang w:eastAsia="zh-CN"/>
        </w:rPr>
      </w:pPr>
      <w:r>
        <w:rPr>
          <w:rFonts w:hint="eastAsia" w:ascii="仿宋" w:hAnsi="仿宋" w:cs="仿宋"/>
          <w:color w:val="000000"/>
          <w:szCs w:val="24"/>
          <w:lang w:eastAsia="zh-CN"/>
        </w:rPr>
        <w:t>（四）其他承诺事项</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四、资格条件及其他</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（一）营业执照（副本）或事业单位法人证书（副本）复印件</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（二）组织机构代码证复印件</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（三）书面声明（格式）</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（四）税务登记证（副本）复印件</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（五）服务商提供书面声明、信用中国网站（www.creditchina.gov.cn）及中国政府采购网（www.ccgp.gov.cn）查询结果，包括：</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1、信用中国网站“信用信息”：包括“失信被执行人”及“重大税收违法案件当事人名单”查询结果；</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2、信用中国网站“行政处罚”查询处罚结果；</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3、中国政府采购网“政府采购严重违法失信行为记录名单”查询结果。</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注：以上查询时间为本项目采购公告发布之日起至投标截止时间前。网页打印件应显示查询时间；若网页打印件未显示查询时间，服务商应自行标注查询时间。若在信用中国网站（www.creditchina.gov.cn）及中国政府采购网（www.ccgp.gov.cn）上查询后无结果，可不打印上述网页截图，以采购人、查实甄别为准。</w:t>
      </w:r>
    </w:p>
    <w:p>
      <w:pPr>
        <w:wordWrap/>
        <w:snapToGrid w:val="0"/>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（六）特定资格条件证书或证明文件</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说明：服务商按“五证合一”登记制度办理营业执照的，组织机构代码证、税务登记证（副本）和社会保险登记证以服务商所提供的营业执照（副本）复印件为准。</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五、其他应提供的资料</w:t>
      </w:r>
    </w:p>
    <w:p>
      <w:pPr>
        <w:wordWrap/>
        <w:spacing w:line="360" w:lineRule="auto"/>
        <w:ind w:firstLine="480" w:firstLineChars="200"/>
        <w:textAlignment w:val="auto"/>
        <w:rPr>
          <w:rFonts w:hint="eastAsia" w:ascii="仿宋" w:hAnsi="仿宋" w:eastAsia="仿宋" w:cs="仿宋"/>
          <w:color w:val="000000"/>
          <w:szCs w:val="24"/>
        </w:rPr>
      </w:pPr>
      <w:r>
        <w:rPr>
          <w:rFonts w:hint="eastAsia" w:ascii="仿宋" w:hAnsi="仿宋" w:eastAsia="仿宋" w:cs="仿宋"/>
          <w:color w:val="000000"/>
          <w:szCs w:val="24"/>
        </w:rPr>
        <w:t>其他与项目有关的资料</w:t>
      </w:r>
    </w:p>
    <w:p>
      <w:pPr>
        <w:wordWrap/>
        <w:spacing w:line="360" w:lineRule="auto"/>
        <w:ind w:firstLine="480" w:firstLineChars="200"/>
        <w:textAlignment w:val="auto"/>
        <w:rPr>
          <w:rFonts w:hint="eastAsia" w:ascii="仿宋" w:hAnsi="仿宋" w:eastAsia="仿宋" w:cs="仿宋"/>
          <w:color w:val="000000"/>
          <w:szCs w:val="24"/>
        </w:rPr>
      </w:pPr>
    </w:p>
    <w:p>
      <w:pPr>
        <w:wordWrap/>
        <w:spacing w:line="360" w:lineRule="auto"/>
        <w:textAlignment w:val="auto"/>
        <w:rPr>
          <w:rFonts w:hint="eastAsia" w:ascii="仿宋" w:hAnsi="仿宋" w:eastAsia="仿宋" w:cs="仿宋"/>
          <w:color w:val="000000"/>
          <w:szCs w:val="24"/>
          <w:lang w:eastAsia="zh-CN"/>
        </w:rPr>
        <w:sectPr>
          <w:pgSz w:w="11907" w:h="16840"/>
          <w:pgMar w:top="1134" w:right="1191" w:bottom="1134" w:left="1304" w:header="851" w:footer="992" w:gutter="0"/>
          <w:pgNumType w:fmt="numberInDash"/>
          <w:cols w:space="720" w:num="1"/>
          <w:docGrid w:linePitch="380" w:charSpace="-5735"/>
        </w:sectPr>
      </w:pPr>
    </w:p>
    <w:p>
      <w:pPr>
        <w:tabs>
          <w:tab w:val="left" w:pos="6300"/>
        </w:tabs>
        <w:wordWrap/>
        <w:snapToGrid w:val="0"/>
        <w:spacing w:line="360" w:lineRule="auto"/>
        <w:textAlignment w:val="auto"/>
        <w:rPr>
          <w:rFonts w:hint="eastAsia" w:ascii="仿宋" w:hAnsi="仿宋" w:eastAsia="仿宋" w:cs="仿宋"/>
          <w:color w:val="000000"/>
          <w:szCs w:val="24"/>
        </w:rPr>
      </w:pPr>
    </w:p>
    <w:sectPr>
      <w:headerReference r:id="rId9" w:type="default"/>
      <w:pgSz w:w="11900" w:h="16840"/>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Kaiti SC">
    <w:altName w:val="宋体"/>
    <w:panose1 w:val="02010600040101010101"/>
    <w:charset w:val="86"/>
    <w:family w:val="auto"/>
    <w:pitch w:val="default"/>
    <w:sig w:usb0="00000000" w:usb1="00000000" w:usb2="00000016" w:usb3="00000000" w:csb0="0004001F" w:csb1="00000000"/>
  </w:font>
  <w:font w:name="PMingLiU">
    <w:panose1 w:val="02020500000000000000"/>
    <w:charset w:val="88"/>
    <w:family w:val="auto"/>
    <w:pitch w:val="default"/>
    <w:sig w:usb0="A00002FF" w:usb1="28CFFCFA" w:usb2="00000016" w:usb3="00000000" w:csb0="00100001" w:csb1="00000000"/>
  </w:font>
  <w:font w:name="Songti SC">
    <w:altName w:val="宋体"/>
    <w:panose1 w:val="02010600040101010101"/>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Heiti SC Medium">
    <w:altName w:val="Arial Unicode MS"/>
    <w:panose1 w:val="00000000000000000000"/>
    <w:charset w:val="80"/>
    <w:family w:val="auto"/>
    <w:pitch w:val="default"/>
    <w:sig w:usb0="00000000" w:usb1="00000000" w:usb2="00000010" w:usb3="00000000" w:csb0="003E0001" w:csb1="00000000"/>
  </w:font>
  <w:font w:name="文鼎粗黑">
    <w:altName w:val="微软雅黑"/>
    <w:panose1 w:val="020B0604020202020204"/>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昆仑楷体">
    <w:altName w:val="宋体"/>
    <w:panose1 w:val="020B0604020202020204"/>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jc w:val="center"/>
      <w:rPr>
        <w:rFonts w:hint="eastAsia" w:ascii="宋体" w:hAnsi="宋体"/>
        <w:sz w:val="21"/>
        <w:szCs w:val="21"/>
      </w:rPr>
    </w:pPr>
    <w:r>
      <w:rPr>
        <w:rFonts w:ascii="宋体" w:hAnsi="宋体"/>
        <w:sz w:val="21"/>
        <w:szCs w:val="21"/>
      </w:rPr>
      <w:fldChar w:fldCharType="begin"/>
    </w:r>
    <w:r>
      <w:rPr>
        <w:rStyle w:val="59"/>
        <w:rFonts w:ascii="宋体" w:hAnsi="宋体"/>
        <w:sz w:val="21"/>
        <w:szCs w:val="21"/>
      </w:rPr>
      <w:instrText xml:space="preserve"> PAGE </w:instrText>
    </w:r>
    <w:r>
      <w:rPr>
        <w:rFonts w:ascii="宋体" w:hAnsi="宋体"/>
        <w:sz w:val="21"/>
        <w:szCs w:val="21"/>
      </w:rPr>
      <w:fldChar w:fldCharType="separate"/>
    </w:r>
    <w:r>
      <w:rPr>
        <w:rStyle w:val="59"/>
        <w:rFonts w:ascii="宋体" w:hAnsi="宋体"/>
        <w:sz w:val="21"/>
        <w:szCs w:val="21"/>
        <w:lang w:val="en-US" w:eastAsia="zh-CN"/>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vAnchor="text" w:hAnchor="margin" w:xAlign="center" w:y="1"/>
      <w:rPr>
        <w:rStyle w:val="59"/>
      </w:rPr>
    </w:pPr>
    <w:r>
      <w:fldChar w:fldCharType="begin"/>
    </w:r>
    <w:r>
      <w:rPr>
        <w:rStyle w:val="59"/>
      </w:rPr>
      <w:instrText xml:space="preserve">PAGE  </w:instrText>
    </w:r>
    <w:r>
      <w:fldChar w:fldCharType="separate"/>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jc w:val="center"/>
      <w:rPr>
        <w:rFonts w:hint="eastAsia" w:ascii="宋体" w:hAnsi="宋体"/>
        <w:sz w:val="21"/>
        <w:szCs w:val="21"/>
      </w:rPr>
    </w:pPr>
    <w:r>
      <w:rPr>
        <w:rFonts w:ascii="宋体" w:hAnsi="宋体"/>
        <w:sz w:val="21"/>
        <w:szCs w:val="21"/>
      </w:rPr>
      <w:fldChar w:fldCharType="begin"/>
    </w:r>
    <w:r>
      <w:rPr>
        <w:rStyle w:val="59"/>
        <w:rFonts w:ascii="宋体" w:hAnsi="宋体"/>
        <w:sz w:val="21"/>
        <w:szCs w:val="21"/>
      </w:rPr>
      <w:instrText xml:space="preserve"> PAGE </w:instrText>
    </w:r>
    <w:r>
      <w:rPr>
        <w:rFonts w:ascii="宋体" w:hAnsi="宋体"/>
        <w:sz w:val="21"/>
        <w:szCs w:val="21"/>
      </w:rPr>
      <w:fldChar w:fldCharType="separate"/>
    </w:r>
    <w:r>
      <w:rPr>
        <w:rStyle w:val="59"/>
        <w:rFonts w:ascii="宋体" w:hAnsi="宋体"/>
        <w:sz w:val="21"/>
        <w:szCs w:val="21"/>
        <w:lang w:val="en-US" w:eastAsia="zh-CN"/>
      </w:rPr>
      <w:t>- 15 -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hint="eastAsia"/>
      </w:rPr>
    </w:pPr>
    <w:r>
      <w:rPr>
        <w:rFonts w:hint="eastAsia" w:ascii="宋体" w:hAnsi="宋体" w:cs="宋体"/>
      </w:rPr>
      <w:t>重庆市</w:t>
    </w:r>
    <w:r>
      <w:rPr>
        <w:rFonts w:hint="eastAsia" w:ascii="宋体" w:hAnsi="宋体" w:cs="宋体"/>
        <w:lang w:val="en-US" w:eastAsia="zh-CN"/>
      </w:rPr>
      <w:t>药监</w:t>
    </w:r>
    <w:r>
      <w:rPr>
        <w:rFonts w:hint="eastAsia" w:ascii="宋体" w:hAnsi="宋体" w:cs="宋体"/>
      </w:rPr>
      <w:t>局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
    <w:nsid w:val="00000016"/>
    <w:multiLevelType w:val="singleLevel"/>
    <w:tmpl w:val="00000016"/>
    <w:lvl w:ilvl="0" w:tentative="1">
      <w:start w:val="1"/>
      <w:numFmt w:val="decimal"/>
      <w:pStyle w:val="161"/>
      <w:lvlText w:val="%1)"/>
      <w:lvlJc w:val="left"/>
      <w:pPr>
        <w:tabs>
          <w:tab w:val="left" w:pos="425"/>
        </w:tabs>
        <w:ind w:left="425" w:hanging="425"/>
      </w:pPr>
      <w:rPr>
        <w:rFonts w:hint="eastAsia"/>
      </w:rPr>
    </w:lvl>
  </w:abstractNum>
  <w:abstractNum w:abstractNumId="18">
    <w:nsid w:val="00000012"/>
    <w:multiLevelType w:val="multilevel"/>
    <w:tmpl w:val="00000012"/>
    <w:lvl w:ilvl="0" w:tentative="1">
      <w:start w:val="1"/>
      <w:numFmt w:val="bullet"/>
      <w:pStyle w:val="89"/>
      <w:lvlText w:val=""/>
      <w:lvlJc w:val="left"/>
      <w:pPr>
        <w:tabs>
          <w:tab w:val="left" w:pos="1644"/>
        </w:tabs>
        <w:ind w:left="1644" w:hanging="510"/>
      </w:pPr>
      <w:rPr>
        <w:rFonts w:hint="default" w:ascii="Wingdings" w:hAnsi="Wingdings"/>
        <w:color w:val="auto"/>
        <w:sz w:val="13"/>
        <w:u w:val="none"/>
      </w:rPr>
    </w:lvl>
    <w:lvl w:ilvl="1" w:tentative="1">
      <w:start w:val="1"/>
      <w:numFmt w:val="bullet"/>
      <w:lvlText w:val=""/>
      <w:lvlJc w:val="left"/>
      <w:pPr>
        <w:tabs>
          <w:tab w:val="left" w:pos="840"/>
        </w:tabs>
        <w:ind w:left="840" w:hanging="420"/>
      </w:pPr>
      <w:rPr>
        <w:rFonts w:hint="default" w:ascii="Wingdings" w:hAnsi="Wingdings"/>
        <w:color w:val="auto"/>
        <w:sz w:val="13"/>
        <w:u w:val="none"/>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817846497">
    <w:nsid w:val="30BF58E1"/>
    <w:multiLevelType w:val="multilevel"/>
    <w:tmpl w:val="30BF58E1"/>
    <w:lvl w:ilvl="0" w:tentative="1">
      <w:start w:val="1"/>
      <w:numFmt w:val="chineseCountingThousand"/>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3">
    <w:nsid w:val="00000017"/>
    <w:multiLevelType w:val="multilevel"/>
    <w:tmpl w:val="00000017"/>
    <w:lvl w:ilvl="0" w:tentative="1">
      <w:start w:val="1"/>
      <w:numFmt w:val="chineseCountingThousand"/>
      <w:pStyle w:val="175"/>
      <w:lvlText w:val="%1、"/>
      <w:lvlJc w:val="left"/>
      <w:pPr>
        <w:tabs>
          <w:tab w:val="left" w:pos="7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0000013"/>
    <w:multiLevelType w:val="singleLevel"/>
    <w:tmpl w:val="00000013"/>
    <w:lvl w:ilvl="0" w:tentative="1">
      <w:start w:val="1"/>
      <w:numFmt w:val="decimal"/>
      <w:pStyle w:val="16"/>
      <w:lvlText w:val="%1."/>
      <w:lvlJc w:val="left"/>
      <w:pPr>
        <w:tabs>
          <w:tab w:val="left" w:pos="425"/>
        </w:tabs>
        <w:ind w:left="425" w:hanging="425"/>
      </w:pPr>
      <w:rPr>
        <w:rFonts w:hint="default"/>
      </w:rPr>
    </w:lvl>
  </w:abstractNum>
  <w:abstractNum w:abstractNumId="20">
    <w:nsid w:val="00000014"/>
    <w:multiLevelType w:val="singleLevel"/>
    <w:tmpl w:val="00000014"/>
    <w:lvl w:ilvl="0" w:tentative="1">
      <w:start w:val="1"/>
      <w:numFmt w:val="bullet"/>
      <w:pStyle w:val="29"/>
      <w:lvlText w:val=""/>
      <w:lvlJc w:val="left"/>
      <w:pPr>
        <w:tabs>
          <w:tab w:val="left" w:pos="780"/>
        </w:tabs>
        <w:ind w:left="780" w:hanging="360"/>
      </w:pPr>
      <w:rPr>
        <w:rFonts w:hint="default" w:ascii="Wingdings" w:hAnsi="Wingdings"/>
      </w:rPr>
    </w:lvl>
  </w:abstractNum>
  <w:abstractNum w:abstractNumId="11">
    <w:nsid w:val="0000000B"/>
    <w:multiLevelType w:val="singleLevel"/>
    <w:tmpl w:val="0000000B"/>
    <w:lvl w:ilvl="0" w:tentative="1">
      <w:start w:val="1"/>
      <w:numFmt w:val="bullet"/>
      <w:pStyle w:val="113"/>
      <w:lvlText w:val=""/>
      <w:lvlJc w:val="left"/>
      <w:pPr>
        <w:tabs>
          <w:tab w:val="left" w:pos="360"/>
        </w:tabs>
        <w:ind w:left="360" w:hanging="360"/>
      </w:pPr>
      <w:rPr>
        <w:rFonts w:hint="default" w:ascii="Wingdings" w:hAnsi="Wingdings"/>
      </w:rPr>
    </w:lvl>
  </w:abstractNum>
  <w:abstractNum w:abstractNumId="10">
    <w:nsid w:val="0000000A"/>
    <w:multiLevelType w:val="multilevel"/>
    <w:tmpl w:val="0000000A"/>
    <w:lvl w:ilvl="0" w:tentative="1">
      <w:start w:val="1"/>
      <w:numFmt w:val="bullet"/>
      <w:pStyle w:val="115"/>
      <w:lvlText w:val=""/>
      <w:lvlJc w:val="left"/>
      <w:pPr>
        <w:tabs>
          <w:tab w:val="left" w:pos="987"/>
        </w:tabs>
        <w:ind w:left="987" w:hanging="420"/>
      </w:pPr>
      <w:rPr>
        <w:rFonts w:hint="default" w:ascii="Wingdings" w:hAnsi="Wingdings"/>
      </w:r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1200"/>
        </w:tabs>
        <w:ind w:left="1200" w:hanging="360"/>
      </w:pPr>
      <w:rPr>
        <w:rFonts w:hint="eastAsia"/>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00000009"/>
    <w:multiLevelType w:val="multilevel"/>
    <w:tmpl w:val="00000009"/>
    <w:lvl w:ilvl="0" w:tentative="1">
      <w:start w:val="1"/>
      <w:numFmt w:val="upperLetter"/>
      <w:pStyle w:val="73"/>
      <w:suff w:val="nothing"/>
      <w:lvlText w:val="附　录　%1"/>
      <w:lvlJc w:val="left"/>
      <w:pPr>
        <w:ind w:left="0" w:firstLine="0"/>
      </w:pPr>
      <w:rPr>
        <w:rFonts w:hint="eastAsia" w:ascii="黑体" w:hAnsi="Times New Roman" w:eastAsia="黑体"/>
        <w:b w:val="0"/>
        <w:i w:val="0"/>
        <w:sz w:val="21"/>
      </w:rPr>
    </w:lvl>
    <w:lvl w:ilvl="1" w:tentative="1">
      <w:start w:val="1"/>
      <w:numFmt w:val="decimal"/>
      <w:pStyle w:val="95"/>
      <w:suff w:val="nothing"/>
      <w:lvlText w:val="%1.%2　"/>
      <w:lvlJc w:val="left"/>
      <w:pPr>
        <w:ind w:left="210" w:firstLine="0"/>
      </w:pPr>
      <w:rPr>
        <w:rFonts w:hint="eastAsia" w:ascii="黑体" w:hAnsi="Times New Roman" w:eastAsia="黑体"/>
        <w:b w:val="0"/>
        <w:i w:val="0"/>
        <w:spacing w:val="0"/>
        <w:w w:val="100"/>
        <w:kern w:val="21"/>
        <w:sz w:val="21"/>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3164890773">
    <w:nsid w:val="BCA46695"/>
    <w:multiLevelType w:val="singleLevel"/>
    <w:tmpl w:val="BCA46695"/>
    <w:lvl w:ilvl="0" w:tentative="1">
      <w:start w:val="6"/>
      <w:numFmt w:val="chineseCounting"/>
      <w:suff w:val="space"/>
      <w:lvlText w:val="第%1篇"/>
      <w:lvlJc w:val="left"/>
      <w:rPr>
        <w:rFonts w:hint="eastAsia"/>
      </w:rPr>
    </w:lvl>
  </w:abstractNum>
  <w:abstractNum w:abstractNumId="17">
    <w:nsid w:val="00000011"/>
    <w:multiLevelType w:val="multilevel"/>
    <w:tmpl w:val="00000011"/>
    <w:lvl w:ilvl="0" w:tentative="1">
      <w:start w:val="1"/>
      <w:numFmt w:val="decimal"/>
      <w:pStyle w:val="134"/>
      <w:lvlText w:val="（%1）"/>
      <w:lvlJc w:val="left"/>
      <w:pPr>
        <w:tabs>
          <w:tab w:val="left" w:pos="1230"/>
        </w:tabs>
        <w:ind w:left="0" w:firstLine="510"/>
      </w:pPr>
      <w:rPr>
        <w:rFonts w:hint="default" w:ascii="Arial" w:hAnsi="Arial"/>
        <w:b w:val="0"/>
        <w:i w:val="0"/>
        <w:sz w:val="24"/>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nsid w:val="00000010"/>
    <w:multiLevelType w:val="singleLevel"/>
    <w:tmpl w:val="00000010"/>
    <w:lvl w:ilvl="0" w:tentative="1">
      <w:start w:val="1"/>
      <w:numFmt w:val="bullet"/>
      <w:pStyle w:val="72"/>
      <w:lvlText w:val=""/>
      <w:lvlJc w:val="left"/>
      <w:pPr>
        <w:tabs>
          <w:tab w:val="left" w:pos="1620"/>
        </w:tabs>
        <w:ind w:left="1620" w:hanging="360"/>
      </w:pPr>
      <w:rPr>
        <w:rFonts w:hint="default" w:ascii="Wingdings" w:hAnsi="Wingdings"/>
      </w:rPr>
    </w:lvl>
  </w:abstractNum>
  <w:abstractNum w:abstractNumId="14">
    <w:nsid w:val="0000000E"/>
    <w:multiLevelType w:val="multilevel"/>
    <w:tmpl w:val="0000000E"/>
    <w:lvl w:ilvl="0" w:tentative="1">
      <w:start w:val="1"/>
      <w:numFmt w:val="bullet"/>
      <w:pStyle w:val="187"/>
      <w:lvlText w:val=""/>
      <w:lvlJc w:val="left"/>
      <w:pPr>
        <w:tabs>
          <w:tab w:val="left" w:pos="540"/>
        </w:tabs>
        <w:ind w:left="540" w:firstLine="0"/>
      </w:pPr>
      <w:rPr>
        <w:rFonts w:hint="default" w:ascii="Wingdings" w:hAnsi="Wingdings"/>
        <w:sz w:val="16"/>
      </w:rPr>
    </w:lvl>
    <w:lvl w:ilvl="1" w:tentative="1">
      <w:start w:val="1"/>
      <w:numFmt w:val="bullet"/>
      <w:lvlText w:val=""/>
      <w:lvlJc w:val="left"/>
      <w:pPr>
        <w:tabs>
          <w:tab w:val="left" w:pos="1940"/>
        </w:tabs>
        <w:ind w:left="1940" w:hanging="420"/>
      </w:pPr>
      <w:rPr>
        <w:rFonts w:hint="default" w:ascii="Wingdings" w:hAnsi="Wingdings"/>
      </w:rPr>
    </w:lvl>
    <w:lvl w:ilvl="2" w:tentative="1">
      <w:start w:val="1"/>
      <w:numFmt w:val="bullet"/>
      <w:lvlText w:val=""/>
      <w:lvlJc w:val="left"/>
      <w:pPr>
        <w:tabs>
          <w:tab w:val="left" w:pos="2360"/>
        </w:tabs>
        <w:ind w:left="2360" w:hanging="420"/>
      </w:pPr>
      <w:rPr>
        <w:rFonts w:hint="default" w:ascii="Wingdings" w:hAnsi="Wingdings"/>
      </w:rPr>
    </w:lvl>
    <w:lvl w:ilvl="3" w:tentative="1">
      <w:start w:val="1"/>
      <w:numFmt w:val="bullet"/>
      <w:lvlText w:val=""/>
      <w:lvlJc w:val="left"/>
      <w:pPr>
        <w:tabs>
          <w:tab w:val="left" w:pos="2780"/>
        </w:tabs>
        <w:ind w:left="2780" w:hanging="420"/>
      </w:pPr>
      <w:rPr>
        <w:rFonts w:hint="default" w:ascii="Wingdings" w:hAnsi="Wingdings"/>
      </w:rPr>
    </w:lvl>
    <w:lvl w:ilvl="4" w:tentative="1">
      <w:start w:val="1"/>
      <w:numFmt w:val="bullet"/>
      <w:lvlText w:val=""/>
      <w:lvlJc w:val="left"/>
      <w:pPr>
        <w:tabs>
          <w:tab w:val="left" w:pos="3200"/>
        </w:tabs>
        <w:ind w:left="3200" w:hanging="420"/>
      </w:pPr>
      <w:rPr>
        <w:rFonts w:hint="default" w:ascii="Wingdings" w:hAnsi="Wingdings"/>
      </w:rPr>
    </w:lvl>
    <w:lvl w:ilvl="5" w:tentative="1">
      <w:start w:val="1"/>
      <w:numFmt w:val="bullet"/>
      <w:lvlText w:val=""/>
      <w:lvlJc w:val="left"/>
      <w:pPr>
        <w:tabs>
          <w:tab w:val="left" w:pos="3620"/>
        </w:tabs>
        <w:ind w:left="3620" w:hanging="420"/>
      </w:pPr>
      <w:rPr>
        <w:rFonts w:hint="default" w:ascii="Wingdings" w:hAnsi="Wingdings"/>
      </w:rPr>
    </w:lvl>
    <w:lvl w:ilvl="6" w:tentative="1">
      <w:start w:val="1"/>
      <w:numFmt w:val="bullet"/>
      <w:lvlText w:val=""/>
      <w:lvlJc w:val="left"/>
      <w:pPr>
        <w:tabs>
          <w:tab w:val="left" w:pos="4040"/>
        </w:tabs>
        <w:ind w:left="4040" w:hanging="420"/>
      </w:pPr>
      <w:rPr>
        <w:rFonts w:hint="default" w:ascii="Wingdings" w:hAnsi="Wingdings"/>
      </w:rPr>
    </w:lvl>
    <w:lvl w:ilvl="7" w:tentative="1">
      <w:start w:val="1"/>
      <w:numFmt w:val="bullet"/>
      <w:lvlText w:val=""/>
      <w:lvlJc w:val="left"/>
      <w:pPr>
        <w:tabs>
          <w:tab w:val="left" w:pos="4460"/>
        </w:tabs>
        <w:ind w:left="4460" w:hanging="420"/>
      </w:pPr>
      <w:rPr>
        <w:rFonts w:hint="default" w:ascii="Wingdings" w:hAnsi="Wingdings"/>
      </w:rPr>
    </w:lvl>
    <w:lvl w:ilvl="8" w:tentative="1">
      <w:start w:val="1"/>
      <w:numFmt w:val="bullet"/>
      <w:lvlText w:val=""/>
      <w:lvlJc w:val="left"/>
      <w:pPr>
        <w:tabs>
          <w:tab w:val="left" w:pos="4880"/>
        </w:tabs>
        <w:ind w:left="4880" w:hanging="420"/>
      </w:pPr>
      <w:rPr>
        <w:rFonts w:hint="default" w:ascii="Wingdings" w:hAnsi="Wingdings"/>
      </w:rPr>
    </w:lvl>
  </w:abstractNum>
  <w:abstractNum w:abstractNumId="13">
    <w:nsid w:val="0000000D"/>
    <w:multiLevelType w:val="singleLevel"/>
    <w:tmpl w:val="0000000D"/>
    <w:lvl w:ilvl="0" w:tentative="1">
      <w:start w:val="1"/>
      <w:numFmt w:val="bullet"/>
      <w:pStyle w:val="114"/>
      <w:lvlText w:val=""/>
      <w:lvlJc w:val="left"/>
      <w:pPr>
        <w:tabs>
          <w:tab w:val="left" w:pos="1200"/>
        </w:tabs>
        <w:ind w:left="1200" w:hanging="360"/>
      </w:pPr>
      <w:rPr>
        <w:rFonts w:hint="default" w:ascii="Wingdings" w:hAnsi="Wingdings"/>
      </w:rPr>
    </w:lvl>
  </w:abstractNum>
  <w:num w:numId="1">
    <w:abstractNumId w:val="19"/>
  </w:num>
  <w:num w:numId="2">
    <w:abstractNumId w:val="16"/>
  </w:num>
  <w:num w:numId="3">
    <w:abstractNumId w:val="13"/>
  </w:num>
  <w:num w:numId="4">
    <w:abstractNumId w:val="20"/>
  </w:num>
  <w:num w:numId="5">
    <w:abstractNumId w:val="9"/>
  </w:num>
  <w:num w:numId="6">
    <w:abstractNumId w:val="18"/>
  </w:num>
  <w:num w:numId="7">
    <w:abstractNumId w:val="11"/>
  </w:num>
  <w:num w:numId="8">
    <w:abstractNumId w:val="10"/>
  </w:num>
  <w:num w:numId="9">
    <w:abstractNumId w:val="17"/>
  </w:num>
  <w:num w:numId="10">
    <w:abstractNumId w:val="22"/>
  </w:num>
  <w:num w:numId="11">
    <w:abstractNumId w:val="23"/>
  </w:num>
  <w:num w:numId="12">
    <w:abstractNumId w:val="14"/>
  </w:num>
  <w:num w:numId="13">
    <w:abstractNumId w:val="817846497"/>
  </w:num>
  <w:num w:numId="14">
    <w:abstractNumId w:val="31648907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43EF3"/>
    <w:rsid w:val="00082AD8"/>
    <w:rsid w:val="000F305C"/>
    <w:rsid w:val="001012AF"/>
    <w:rsid w:val="001662EA"/>
    <w:rsid w:val="00287DEB"/>
    <w:rsid w:val="0030694D"/>
    <w:rsid w:val="00310C53"/>
    <w:rsid w:val="003141BE"/>
    <w:rsid w:val="00392179"/>
    <w:rsid w:val="00397E53"/>
    <w:rsid w:val="004667DB"/>
    <w:rsid w:val="00502590"/>
    <w:rsid w:val="005C7BBF"/>
    <w:rsid w:val="006064B7"/>
    <w:rsid w:val="0068741F"/>
    <w:rsid w:val="006D3AAB"/>
    <w:rsid w:val="00714CBE"/>
    <w:rsid w:val="0072749A"/>
    <w:rsid w:val="007C05D2"/>
    <w:rsid w:val="00847BC8"/>
    <w:rsid w:val="00850DA2"/>
    <w:rsid w:val="008E28AC"/>
    <w:rsid w:val="0091508B"/>
    <w:rsid w:val="00986326"/>
    <w:rsid w:val="009920C5"/>
    <w:rsid w:val="00A925A0"/>
    <w:rsid w:val="00B0525A"/>
    <w:rsid w:val="00B146A2"/>
    <w:rsid w:val="00C34A6A"/>
    <w:rsid w:val="00C61E37"/>
    <w:rsid w:val="00CB61CF"/>
    <w:rsid w:val="00CC7F8F"/>
    <w:rsid w:val="00D15809"/>
    <w:rsid w:val="00D96096"/>
    <w:rsid w:val="00EB7816"/>
    <w:rsid w:val="00ED41EF"/>
    <w:rsid w:val="00EE3187"/>
    <w:rsid w:val="00EF1C30"/>
    <w:rsid w:val="00F21073"/>
    <w:rsid w:val="00F8598F"/>
    <w:rsid w:val="07B41AC6"/>
    <w:rsid w:val="12960A17"/>
    <w:rsid w:val="1B961723"/>
    <w:rsid w:val="1C9C00B1"/>
    <w:rsid w:val="247F2708"/>
    <w:rsid w:val="2C250914"/>
    <w:rsid w:val="3449438B"/>
    <w:rsid w:val="51B65450"/>
    <w:rsid w:val="5638710A"/>
    <w:rsid w:val="586D3DA5"/>
    <w:rsid w:val="590349AC"/>
    <w:rsid w:val="59B768FB"/>
    <w:rsid w:val="5F743D6E"/>
    <w:rsid w:val="70D961F4"/>
    <w:rsid w:val="7194311B"/>
    <w:rsid w:val="7A022A5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仿宋" w:cs="Times New Roman"/>
      <w:kern w:val="2"/>
      <w:sz w:val="24"/>
      <w:szCs w:val="20"/>
      <w:lang w:val="en-US" w:eastAsia="zh-CN" w:bidi="ar-SA"/>
    </w:rPr>
  </w:style>
  <w:style w:type="paragraph" w:styleId="2">
    <w:name w:val="heading 1"/>
    <w:basedOn w:val="1"/>
    <w:next w:val="1"/>
    <w:link w:val="204"/>
    <w:qFormat/>
    <w:uiPriority w:val="0"/>
    <w:pPr>
      <w:keepNext/>
      <w:keepLines/>
      <w:outlineLvl w:val="0"/>
    </w:pPr>
    <w:rPr>
      <w:rFonts w:ascii="等线" w:hAnsi="等线" w:eastAsia="等线" w:cs="黑体"/>
      <w:b/>
      <w:bCs/>
      <w:kern w:val="44"/>
      <w:szCs w:val="44"/>
    </w:rPr>
  </w:style>
  <w:style w:type="paragraph" w:styleId="3">
    <w:name w:val="heading 2"/>
    <w:basedOn w:val="1"/>
    <w:next w:val="4"/>
    <w:link w:val="206"/>
    <w:qFormat/>
    <w:uiPriority w:val="0"/>
    <w:pPr>
      <w:keepNext/>
      <w:keepLines/>
      <w:spacing w:line="360" w:lineRule="auto"/>
      <w:jc w:val="center"/>
      <w:outlineLvl w:val="1"/>
    </w:pPr>
    <w:rPr>
      <w:rFonts w:ascii="仿宋" w:hAnsi="仿宋" w:eastAsia="仿宋" w:cs="仿宋"/>
      <w:bCs/>
      <w:sz w:val="36"/>
      <w:szCs w:val="30"/>
    </w:rPr>
  </w:style>
  <w:style w:type="paragraph" w:styleId="4">
    <w:name w:val="heading 3"/>
    <w:basedOn w:val="1"/>
    <w:next w:val="1"/>
    <w:link w:val="205"/>
    <w:qFormat/>
    <w:uiPriority w:val="0"/>
    <w:pPr>
      <w:keepNext/>
      <w:keepLines/>
      <w:spacing w:line="360" w:lineRule="auto"/>
      <w:ind w:firstLine="482" w:firstLineChars="200"/>
      <w:outlineLvl w:val="2"/>
    </w:pPr>
    <w:rPr>
      <w:rFonts w:ascii="仿宋" w:hAnsi="仿宋" w:eastAsia="仿宋" w:cs="仿宋"/>
      <w:b/>
      <w:color w:val="C00000"/>
      <w:szCs w:val="24"/>
    </w:rPr>
  </w:style>
  <w:style w:type="paragraph" w:styleId="5">
    <w:name w:val="heading 4"/>
    <w:basedOn w:val="1"/>
    <w:next w:val="1"/>
    <w:link w:val="207"/>
    <w:qFormat/>
    <w:uiPriority w:val="0"/>
    <w:pPr>
      <w:spacing w:line="240" w:lineRule="atLeast"/>
      <w:outlineLvl w:val="3"/>
    </w:pPr>
    <w:rPr>
      <w:rFonts w:eastAsia="Kaiti SC"/>
    </w:rPr>
  </w:style>
  <w:style w:type="paragraph" w:styleId="6">
    <w:name w:val="heading 5"/>
    <w:basedOn w:val="1"/>
    <w:next w:val="1"/>
    <w:link w:val="208"/>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209"/>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rPr>
  </w:style>
  <w:style w:type="paragraph" w:styleId="8">
    <w:name w:val="heading 7"/>
    <w:basedOn w:val="1"/>
    <w:next w:val="1"/>
    <w:link w:val="210"/>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rPr>
  </w:style>
  <w:style w:type="paragraph" w:styleId="9">
    <w:name w:val="heading 8"/>
    <w:basedOn w:val="1"/>
    <w:next w:val="1"/>
    <w:link w:val="21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rPr>
  </w:style>
  <w:style w:type="paragraph" w:styleId="10">
    <w:name w:val="heading 9"/>
    <w:basedOn w:val="1"/>
    <w:next w:val="1"/>
    <w:link w:val="212"/>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rPr>
  </w:style>
  <w:style w:type="character" w:default="1" w:styleId="57">
    <w:name w:val="Default Paragraph Font"/>
    <w:unhideWhenUsed/>
    <w:qFormat/>
    <w:uiPriority w:val="1"/>
  </w:style>
  <w:style w:type="table" w:default="1" w:styleId="65">
    <w:name w:val="Normal Table"/>
    <w:unhideWhenUsed/>
    <w:qFormat/>
    <w:uiPriority w:val="99"/>
    <w:tblPr>
      <w:tblStyle w:val="65"/>
      <w:tblLayout w:type="fixed"/>
      <w:tblCellMar>
        <w:top w:w="0" w:type="dxa"/>
        <w:left w:w="108" w:type="dxa"/>
        <w:bottom w:w="0" w:type="dxa"/>
        <w:right w:w="108" w:type="dxa"/>
      </w:tblCellMar>
    </w:tblPr>
    <w:tcPr>
      <w:textDirection w:val="lrTb"/>
    </w:tcPr>
  </w:style>
  <w:style w:type="paragraph" w:styleId="11">
    <w:name w:val="List 3"/>
    <w:basedOn w:val="1"/>
    <w:qFormat/>
    <w:uiPriority w:val="0"/>
    <w:pPr>
      <w:adjustRightInd w:val="0"/>
      <w:snapToGrid w:val="0"/>
      <w:spacing w:line="360" w:lineRule="auto"/>
      <w:ind w:left="100" w:leftChars="400" w:hanging="200" w:hangingChars="200"/>
    </w:pPr>
  </w:style>
  <w:style w:type="paragraph" w:styleId="12">
    <w:name w:val="annotation subject"/>
    <w:basedOn w:val="13"/>
    <w:next w:val="13"/>
    <w:link w:val="227"/>
    <w:qFormat/>
    <w:uiPriority w:val="0"/>
    <w:rPr>
      <w:rFonts w:ascii="等线" w:hAnsi="等线" w:eastAsia="等线" w:cs="黑体"/>
      <w:szCs w:val="24"/>
    </w:rPr>
  </w:style>
  <w:style w:type="paragraph" w:styleId="13">
    <w:name w:val="annotation text"/>
    <w:basedOn w:val="1"/>
    <w:link w:val="229"/>
    <w:unhideWhenUsed/>
    <w:qFormat/>
    <w:uiPriority w:val="0"/>
    <w:pPr>
      <w:jc w:val="left"/>
    </w:pPr>
  </w:style>
  <w:style w:type="paragraph" w:styleId="14">
    <w:name w:val="toc 7"/>
    <w:basedOn w:val="1"/>
    <w:next w:val="1"/>
    <w:qFormat/>
    <w:uiPriority w:val="39"/>
    <w:pPr>
      <w:ind w:left="1680"/>
      <w:jc w:val="left"/>
    </w:pPr>
    <w:rPr>
      <w:rFonts w:ascii="等线" w:eastAsia="等线"/>
      <w:sz w:val="20"/>
    </w:rPr>
  </w:style>
  <w:style w:type="paragraph" w:styleId="15">
    <w:name w:val="Body Text First Indent"/>
    <w:basedOn w:val="1"/>
    <w:link w:val="265"/>
    <w:qFormat/>
    <w:uiPriority w:val="0"/>
    <w:pPr>
      <w:spacing w:line="360" w:lineRule="auto"/>
      <w:ind w:firstLine="420"/>
    </w:pPr>
    <w:rPr>
      <w:rFonts w:ascii="宋体" w:hAnsi="宋体"/>
    </w:rPr>
  </w:style>
  <w:style w:type="paragraph" w:styleId="16">
    <w:name w:val="List Number 2"/>
    <w:basedOn w:val="1"/>
    <w:qFormat/>
    <w:uiPriority w:val="0"/>
    <w:pPr>
      <w:numPr>
        <w:ilvl w:val="0"/>
        <w:numId w:val="1"/>
      </w:numPr>
      <w:tabs>
        <w:tab w:val="left" w:pos="780"/>
        <w:tab w:val="clear" w:pos="425"/>
      </w:tabs>
      <w:spacing w:line="360" w:lineRule="auto"/>
    </w:pPr>
  </w:style>
  <w:style w:type="paragraph" w:styleId="17">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8">
    <w:name w:val="Normal Indent"/>
    <w:basedOn w:val="1"/>
    <w:qFormat/>
    <w:uiPriority w:val="0"/>
    <w:pPr>
      <w:adjustRightInd w:val="0"/>
      <w:snapToGrid w:val="0"/>
      <w:spacing w:line="360" w:lineRule="auto"/>
      <w:ind w:firstLine="420"/>
    </w:p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20">
    <w:name w:val="Document Map"/>
    <w:basedOn w:val="1"/>
    <w:link w:val="261"/>
    <w:uiPriority w:val="0"/>
    <w:pPr>
      <w:shd w:val="clear" w:color="auto" w:fill="000080"/>
    </w:pPr>
  </w:style>
  <w:style w:type="paragraph" w:styleId="21">
    <w:name w:val="toa heading"/>
    <w:basedOn w:val="1"/>
    <w:next w:val="1"/>
    <w:qFormat/>
    <w:uiPriority w:val="0"/>
    <w:pPr>
      <w:spacing w:before="120"/>
    </w:pPr>
    <w:rPr>
      <w:rFonts w:ascii="Arial" w:hAnsi="Arial"/>
    </w:rPr>
  </w:style>
  <w:style w:type="paragraph" w:styleId="22">
    <w:name w:val="Body Text 3"/>
    <w:basedOn w:val="1"/>
    <w:link w:val="260"/>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3"/>
      </w:numPr>
      <w:adjustRightInd w:val="0"/>
      <w:snapToGrid w:val="0"/>
      <w:spacing w:line="360" w:lineRule="auto"/>
    </w:pPr>
  </w:style>
  <w:style w:type="paragraph" w:styleId="24">
    <w:name w:val="Body Text"/>
    <w:basedOn w:val="1"/>
    <w:link w:val="216"/>
    <w:qFormat/>
    <w:uiPriority w:val="0"/>
    <w:rPr>
      <w:rFonts w:ascii="仿宋" w:hAnsi="仿宋" w:eastAsia="Songti SC" w:cs="仿宋"/>
      <w:lang w:val="zh-CN" w:bidi="zh-CN"/>
    </w:rPr>
  </w:style>
  <w:style w:type="paragraph" w:styleId="25">
    <w:name w:val="Body Text Indent"/>
    <w:basedOn w:val="1"/>
    <w:link w:val="241"/>
    <w:unhideWhenUsed/>
    <w:qFormat/>
    <w:uiPriority w:val="0"/>
    <w:pPr>
      <w:spacing w:after="120"/>
      <w:ind w:left="420" w:leftChars="200"/>
    </w:pPr>
  </w:style>
  <w:style w:type="paragraph" w:styleId="26">
    <w:name w:val="List Number 3"/>
    <w:basedOn w:val="1"/>
    <w:uiPriority w:val="0"/>
    <w:pPr>
      <w:tabs>
        <w:tab w:val="left" w:pos="2120"/>
      </w:tabs>
      <w:adjustRightInd w:val="0"/>
      <w:snapToGrid w:val="0"/>
      <w:spacing w:line="360" w:lineRule="auto"/>
      <w:ind w:left="2120" w:hanging="720"/>
    </w:pPr>
  </w:style>
  <w:style w:type="paragraph" w:styleId="27">
    <w:name w:val="List 2"/>
    <w:basedOn w:val="1"/>
    <w:qFormat/>
    <w:uiPriority w:val="0"/>
    <w:pPr>
      <w:adjustRightInd w:val="0"/>
      <w:snapToGrid w:val="0"/>
      <w:spacing w:line="360" w:lineRule="auto"/>
      <w:ind w:left="100" w:leftChars="200" w:hanging="200" w:hangingChars="200"/>
    </w:pPr>
  </w:style>
  <w:style w:type="paragraph" w:styleId="28">
    <w:name w:val="List Continue"/>
    <w:basedOn w:val="1"/>
    <w:qFormat/>
    <w:uiPriority w:val="0"/>
    <w:pPr>
      <w:adjustRightInd w:val="0"/>
      <w:snapToGrid w:val="0"/>
      <w:spacing w:after="120" w:line="360" w:lineRule="auto"/>
      <w:ind w:left="420" w:leftChars="200"/>
    </w:pPr>
  </w:style>
  <w:style w:type="paragraph" w:styleId="29">
    <w:name w:val="List Bullet 2"/>
    <w:basedOn w:val="1"/>
    <w:qFormat/>
    <w:uiPriority w:val="0"/>
    <w:pPr>
      <w:numPr>
        <w:ilvl w:val="0"/>
        <w:numId w:val="4"/>
      </w:numPr>
      <w:adjustRightInd w:val="0"/>
      <w:snapToGrid w:val="0"/>
      <w:spacing w:line="360" w:lineRule="auto"/>
    </w:pPr>
  </w:style>
  <w:style w:type="paragraph" w:styleId="30">
    <w:name w:val="toc 5"/>
    <w:basedOn w:val="1"/>
    <w:next w:val="1"/>
    <w:qFormat/>
    <w:uiPriority w:val="39"/>
    <w:pPr>
      <w:ind w:left="1120"/>
      <w:jc w:val="left"/>
    </w:pPr>
    <w:rPr>
      <w:rFonts w:ascii="等线" w:eastAsia="等线"/>
      <w:sz w:val="20"/>
    </w:rPr>
  </w:style>
  <w:style w:type="paragraph" w:styleId="31">
    <w:name w:val="toc 3"/>
    <w:basedOn w:val="1"/>
    <w:next w:val="1"/>
    <w:uiPriority w:val="39"/>
    <w:pPr>
      <w:ind w:left="560"/>
      <w:jc w:val="left"/>
    </w:pPr>
    <w:rPr>
      <w:rFonts w:ascii="等线" w:eastAsia="等线"/>
      <w:sz w:val="20"/>
    </w:rPr>
  </w:style>
  <w:style w:type="paragraph" w:styleId="32">
    <w:name w:val="Plain Text"/>
    <w:basedOn w:val="1"/>
    <w:link w:val="256"/>
    <w:qFormat/>
    <w:uiPriority w:val="0"/>
    <w:rPr>
      <w:rFonts w:ascii="宋体" w:hAnsi="Courier New"/>
      <w:sz w:val="21"/>
    </w:rPr>
  </w:style>
  <w:style w:type="paragraph" w:styleId="33">
    <w:name w:val="toc 8"/>
    <w:basedOn w:val="1"/>
    <w:next w:val="1"/>
    <w:qFormat/>
    <w:uiPriority w:val="39"/>
    <w:pPr>
      <w:ind w:left="1960"/>
      <w:jc w:val="left"/>
    </w:pPr>
    <w:rPr>
      <w:rFonts w:ascii="等线" w:eastAsia="等线"/>
      <w:sz w:val="20"/>
    </w:rPr>
  </w:style>
  <w:style w:type="paragraph" w:styleId="34">
    <w:name w:val="Date"/>
    <w:basedOn w:val="1"/>
    <w:next w:val="1"/>
    <w:link w:val="236"/>
    <w:uiPriority w:val="0"/>
    <w:rPr>
      <w:rFonts w:ascii="等线" w:hAnsi="等线" w:eastAsia="等线" w:cs="黑体"/>
      <w:szCs w:val="24"/>
    </w:rPr>
  </w:style>
  <w:style w:type="paragraph" w:styleId="35">
    <w:name w:val="Body Text Indent 2"/>
    <w:basedOn w:val="1"/>
    <w:link w:val="221"/>
    <w:qFormat/>
    <w:uiPriority w:val="0"/>
    <w:pPr>
      <w:snapToGrid w:val="0"/>
      <w:spacing w:line="560" w:lineRule="atLeast"/>
      <w:ind w:firstLine="540"/>
    </w:pPr>
    <w:rPr>
      <w:rFonts w:ascii="等线" w:hAnsi="等线" w:eastAsia="等线" w:cs="黑体"/>
      <w:szCs w:val="24"/>
    </w:rPr>
  </w:style>
  <w:style w:type="paragraph" w:styleId="36">
    <w:name w:val="Balloon Text"/>
    <w:basedOn w:val="1"/>
    <w:link w:val="254"/>
    <w:uiPriority w:val="0"/>
    <w:rPr>
      <w:sz w:val="18"/>
    </w:rPr>
  </w:style>
  <w:style w:type="paragraph" w:styleId="37">
    <w:name w:val="footer"/>
    <w:basedOn w:val="1"/>
    <w:link w:val="258"/>
    <w:qFormat/>
    <w:uiPriority w:val="0"/>
    <w:pPr>
      <w:tabs>
        <w:tab w:val="center" w:pos="4153"/>
        <w:tab w:val="right" w:pos="8306"/>
      </w:tabs>
      <w:snapToGrid w:val="0"/>
      <w:jc w:val="left"/>
    </w:pPr>
    <w:rPr>
      <w:sz w:val="18"/>
    </w:rPr>
  </w:style>
  <w:style w:type="paragraph" w:styleId="38">
    <w:name w:val="Body Text First Indent 2"/>
    <w:basedOn w:val="25"/>
    <w:link w:val="240"/>
    <w:qFormat/>
    <w:uiPriority w:val="0"/>
    <w:pPr>
      <w:ind w:firstLine="420" w:firstLineChars="200"/>
    </w:pPr>
    <w:rPr>
      <w:rFonts w:ascii="等线" w:hAnsi="等线" w:eastAsia="等线" w:cs="黑体"/>
      <w:sz w:val="44"/>
      <w:szCs w:val="24"/>
    </w:rPr>
  </w:style>
  <w:style w:type="paragraph" w:styleId="39">
    <w:name w:val="header"/>
    <w:basedOn w:val="1"/>
    <w:link w:val="252"/>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39"/>
    <w:pPr>
      <w:spacing w:before="240" w:after="120"/>
      <w:jc w:val="left"/>
    </w:pPr>
    <w:rPr>
      <w:rFonts w:ascii="等线" w:eastAsia="等线"/>
      <w:b/>
      <w:bCs/>
      <w:sz w:val="20"/>
    </w:rPr>
  </w:style>
  <w:style w:type="paragraph" w:styleId="41">
    <w:name w:val="List Continue 4"/>
    <w:basedOn w:val="1"/>
    <w:qFormat/>
    <w:uiPriority w:val="0"/>
    <w:pPr>
      <w:adjustRightInd w:val="0"/>
      <w:snapToGrid w:val="0"/>
      <w:spacing w:after="120" w:line="360" w:lineRule="auto"/>
      <w:ind w:left="1680" w:leftChars="800"/>
    </w:pPr>
  </w:style>
  <w:style w:type="paragraph" w:styleId="42">
    <w:name w:val="toc 4"/>
    <w:basedOn w:val="1"/>
    <w:next w:val="1"/>
    <w:qFormat/>
    <w:uiPriority w:val="39"/>
    <w:pPr>
      <w:ind w:left="840"/>
      <w:jc w:val="left"/>
    </w:pPr>
    <w:rPr>
      <w:rFonts w:ascii="等线" w:eastAsia="等线"/>
      <w:sz w:val="20"/>
    </w:rPr>
  </w:style>
  <w:style w:type="paragraph" w:styleId="43">
    <w:name w:val="footnote text"/>
    <w:basedOn w:val="1"/>
    <w:link w:val="245"/>
    <w:qFormat/>
    <w:uiPriority w:val="0"/>
    <w:pPr>
      <w:spacing w:line="360" w:lineRule="auto"/>
    </w:pPr>
    <w:rPr>
      <w:rFonts w:ascii="等线" w:hAnsi="等线" w:eastAsia="等线" w:cs="黑体"/>
      <w:sz w:val="18"/>
      <w:szCs w:val="24"/>
    </w:rPr>
  </w:style>
  <w:style w:type="paragraph" w:styleId="44">
    <w:name w:val="toc 6"/>
    <w:basedOn w:val="1"/>
    <w:next w:val="1"/>
    <w:qFormat/>
    <w:uiPriority w:val="39"/>
    <w:pPr>
      <w:ind w:left="1400"/>
      <w:jc w:val="left"/>
    </w:pPr>
    <w:rPr>
      <w:rFonts w:ascii="等线" w:eastAsia="等线"/>
      <w:sz w:val="20"/>
    </w:rPr>
  </w:style>
  <w:style w:type="paragraph" w:styleId="45">
    <w:name w:val="List 5"/>
    <w:basedOn w:val="1"/>
    <w:qFormat/>
    <w:uiPriority w:val="0"/>
    <w:pPr>
      <w:adjustRightInd w:val="0"/>
      <w:snapToGrid w:val="0"/>
      <w:spacing w:line="360" w:lineRule="auto"/>
      <w:ind w:left="100" w:leftChars="800" w:hanging="200" w:hangingChars="200"/>
    </w:pPr>
  </w:style>
  <w:style w:type="paragraph" w:styleId="46">
    <w:name w:val="Body Text Indent 3"/>
    <w:basedOn w:val="1"/>
    <w:link w:val="263"/>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style>
  <w:style w:type="paragraph" w:styleId="48">
    <w:name w:val="toc 2"/>
    <w:basedOn w:val="1"/>
    <w:next w:val="1"/>
    <w:qFormat/>
    <w:uiPriority w:val="39"/>
    <w:pPr>
      <w:spacing w:before="120"/>
      <w:ind w:left="280"/>
      <w:jc w:val="left"/>
    </w:pPr>
    <w:rPr>
      <w:rFonts w:ascii="等线" w:eastAsia="等线"/>
      <w:i/>
      <w:iCs/>
      <w:sz w:val="20"/>
    </w:rPr>
  </w:style>
  <w:style w:type="paragraph" w:styleId="49">
    <w:name w:val="toc 9"/>
    <w:basedOn w:val="1"/>
    <w:next w:val="1"/>
    <w:qFormat/>
    <w:uiPriority w:val="39"/>
    <w:pPr>
      <w:ind w:left="2240"/>
      <w:jc w:val="left"/>
    </w:pPr>
    <w:rPr>
      <w:rFonts w:ascii="等线" w:eastAsia="等线"/>
      <w:sz w:val="20"/>
    </w:rPr>
  </w:style>
  <w:style w:type="paragraph" w:styleId="50">
    <w:name w:val="Body Text 2"/>
    <w:basedOn w:val="1"/>
    <w:link w:val="257"/>
    <w:qFormat/>
    <w:uiPriority w:val="0"/>
    <w:pPr>
      <w:adjustRightInd w:val="0"/>
      <w:snapToGrid w:val="0"/>
      <w:spacing w:after="120" w:line="480" w:lineRule="auto"/>
    </w:pPr>
  </w:style>
  <w:style w:type="paragraph" w:styleId="51">
    <w:name w:val="List 4"/>
    <w:basedOn w:val="1"/>
    <w:qFormat/>
    <w:uiPriority w:val="0"/>
    <w:pPr>
      <w:adjustRightInd w:val="0"/>
      <w:snapToGrid w:val="0"/>
      <w:spacing w:line="360" w:lineRule="auto"/>
      <w:ind w:left="100" w:leftChars="600" w:hanging="200" w:hangingChars="200"/>
    </w:pPr>
  </w:style>
  <w:style w:type="paragraph" w:styleId="52">
    <w:name w:val="List Continue 2"/>
    <w:basedOn w:val="1"/>
    <w:qFormat/>
    <w:uiPriority w:val="0"/>
    <w:pPr>
      <w:adjustRightInd w:val="0"/>
      <w:snapToGrid w:val="0"/>
      <w:spacing w:after="120" w:line="360" w:lineRule="auto"/>
      <w:ind w:left="840" w:leftChars="400"/>
    </w:pPr>
  </w:style>
  <w:style w:type="paragraph" w:styleId="53">
    <w:name w:val="Normal (Web)"/>
    <w:basedOn w:val="1"/>
    <w:qFormat/>
    <w:uiPriority w:val="0"/>
    <w:pPr>
      <w:widowControl/>
      <w:spacing w:before="100" w:beforeAutospacing="1" w:after="100" w:afterAutospacing="1"/>
      <w:jc w:val="left"/>
    </w:pPr>
    <w:rPr>
      <w:rFonts w:ascii="宋体" w:hAnsi="宋体"/>
      <w:kern w:val="0"/>
    </w:rPr>
  </w:style>
  <w:style w:type="paragraph" w:styleId="54">
    <w:name w:val="List Continue 3"/>
    <w:basedOn w:val="1"/>
    <w:qFormat/>
    <w:uiPriority w:val="0"/>
    <w:pPr>
      <w:adjustRightInd w:val="0"/>
      <w:snapToGrid w:val="0"/>
      <w:spacing w:after="120" w:line="360" w:lineRule="auto"/>
      <w:ind w:left="1260" w:leftChars="600"/>
    </w:p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next w:val="1"/>
    <w:link w:val="215"/>
    <w:qFormat/>
    <w:uiPriority w:val="0"/>
    <w:pPr>
      <w:spacing w:after="440" w:line="440" w:lineRule="exact"/>
      <w:jc w:val="center"/>
      <w:outlineLvl w:val="0"/>
    </w:pPr>
    <w:rPr>
      <w:rFonts w:ascii="等线 Light" w:hAnsi="等线 Light" w:eastAsia="Heiti SC Medium" w:cs="黑体"/>
      <w:b/>
      <w:bCs/>
      <w:sz w:val="32"/>
      <w:szCs w:val="32"/>
    </w:rPr>
  </w:style>
  <w:style w:type="character" w:styleId="58">
    <w:name w:val="Strong"/>
    <w:qFormat/>
    <w:uiPriority w:val="22"/>
    <w:rPr>
      <w:b/>
    </w:rPr>
  </w:style>
  <w:style w:type="character" w:styleId="59">
    <w:name w:val="page number"/>
    <w:basedOn w:val="57"/>
    <w:uiPriority w:val="0"/>
    <w:rPr/>
  </w:style>
  <w:style w:type="character" w:styleId="60">
    <w:name w:val="FollowedHyperlink"/>
    <w:qFormat/>
    <w:uiPriority w:val="0"/>
    <w:rPr>
      <w:color w:val="800080"/>
      <w:u w:val="single"/>
    </w:rPr>
  </w:style>
  <w:style w:type="character" w:styleId="61">
    <w:name w:val="Emphasis"/>
    <w:qFormat/>
    <w:uiPriority w:val="0"/>
    <w:rPr>
      <w:i/>
    </w:rPr>
  </w:style>
  <w:style w:type="character" w:styleId="62">
    <w:name w:val="Hyperlink"/>
    <w:qFormat/>
    <w:uiPriority w:val="99"/>
    <w:rPr>
      <w:color w:val="0000FF"/>
      <w:u w:val="single"/>
    </w:rPr>
  </w:style>
  <w:style w:type="character" w:styleId="63">
    <w:name w:val="annotation reference"/>
    <w:qFormat/>
    <w:uiPriority w:val="0"/>
    <w:rPr>
      <w:sz w:val="21"/>
      <w:szCs w:val="21"/>
    </w:rPr>
  </w:style>
  <w:style w:type="character" w:styleId="64">
    <w:name w:val="footnote reference"/>
    <w:qFormat/>
    <w:uiPriority w:val="0"/>
    <w:rPr>
      <w:position w:val="6"/>
      <w:sz w:val="14"/>
      <w:vertAlign w:val="superscript"/>
    </w:rPr>
  </w:style>
  <w:style w:type="paragraph" w:customStyle="1" w:styleId="66">
    <w:name w:val="样式1"/>
    <w:basedOn w:val="1"/>
    <w:qFormat/>
    <w:uiPriority w:val="0"/>
  </w:style>
  <w:style w:type="paragraph" w:customStyle="1" w:styleId="67">
    <w:name w:val="文字"/>
    <w:basedOn w:val="1"/>
    <w:link w:val="238"/>
    <w:uiPriority w:val="0"/>
    <w:pPr>
      <w:tabs>
        <w:tab w:val="left" w:pos="8520"/>
      </w:tabs>
      <w:spacing w:line="312" w:lineRule="auto"/>
      <w:ind w:right="-210" w:firstLine="556"/>
    </w:pPr>
    <w:rPr>
      <w:rFonts w:ascii="宋体" w:hAnsi="等线" w:eastAsia="等线" w:cs="黑体"/>
      <w:szCs w:val="24"/>
    </w:rPr>
  </w:style>
  <w:style w:type="paragraph" w:customStyle="1" w:styleId="68">
    <w:name w:val="Table Text"/>
    <w:link w:val="247"/>
    <w:qFormat/>
    <w:uiPriority w:val="0"/>
    <w:pPr>
      <w:snapToGrid w:val="0"/>
      <w:spacing w:before="80" w:after="80"/>
    </w:pPr>
    <w:rPr>
      <w:rFonts w:ascii="Arial" w:hAnsi="Arial" w:eastAsia="等线" w:cs="黑体"/>
      <w:kern w:val="2"/>
      <w:sz w:val="18"/>
      <w:szCs w:val="24"/>
      <w:lang w:val="en-US" w:eastAsia="zh-CN" w:bidi="ar-SA"/>
    </w:rPr>
  </w:style>
  <w:style w:type="paragraph" w:customStyle="1" w:styleId="69">
    <w:name w:val="Table Text Char Char Char"/>
    <w:link w:val="249"/>
    <w:qFormat/>
    <w:uiPriority w:val="0"/>
    <w:pPr>
      <w:snapToGrid w:val="0"/>
      <w:spacing w:before="80" w:after="80"/>
    </w:pPr>
    <w:rPr>
      <w:rFonts w:ascii="Arial" w:hAnsi="Arial" w:eastAsia="等线" w:cs="黑体"/>
      <w:kern w:val="2"/>
      <w:sz w:val="18"/>
      <w:szCs w:val="24"/>
      <w:lang w:val="en-US" w:eastAsia="zh-CN" w:bidi="ar-SA"/>
    </w:rPr>
  </w:style>
  <w:style w:type="paragraph" w:customStyle="1" w:styleId="7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7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72">
    <w:name w:val=" Char Char Char Char Char"/>
    <w:basedOn w:val="1"/>
    <w:qFormat/>
    <w:uiPriority w:val="0"/>
    <w:pPr>
      <w:numPr>
        <w:ilvl w:val="0"/>
        <w:numId w:val="2"/>
      </w:numPr>
      <w:tabs>
        <w:tab w:val="left" w:pos="425"/>
        <w:tab w:val="clear" w:pos="1620"/>
      </w:tabs>
    </w:pPr>
    <w:rPr>
      <w:rFonts w:ascii="Tahoma" w:hAnsi="Tahoma"/>
    </w:rPr>
  </w:style>
  <w:style w:type="paragraph" w:customStyle="1" w:styleId="73">
    <w:name w:val="Item Step in Table"/>
    <w:qFormat/>
    <w:uiPriority w:val="0"/>
    <w:pPr>
      <w:numPr>
        <w:ilvl w:val="0"/>
        <w:numId w:val="5"/>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74">
    <w:name w:val="图片文字"/>
    <w:basedOn w:val="1"/>
    <w:qFormat/>
    <w:uiPriority w:val="0"/>
    <w:pPr>
      <w:spacing w:line="240" w:lineRule="atLeast"/>
      <w:jc w:val="center"/>
    </w:pPr>
    <w:rPr>
      <w:sz w:val="21"/>
    </w:rPr>
  </w:style>
  <w:style w:type="paragraph" w:customStyle="1" w:styleId="75">
    <w:name w:val="段 Char"/>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7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77">
    <w:name w:val="样式3"/>
    <w:basedOn w:val="2"/>
    <w:next w:val="2"/>
    <w:qFormat/>
    <w:uiPriority w:val="0"/>
    <w:pPr>
      <w:adjustRightInd w:val="0"/>
      <w:snapToGrid w:val="0"/>
      <w:spacing w:before="340" w:after="330" w:line="576" w:lineRule="auto"/>
    </w:pPr>
    <w:rPr>
      <w:rFonts w:ascii="Times New Roman" w:hAnsi="Times New Roman" w:eastAsia="黑体" w:cs="Times New Roman"/>
      <w:bCs w:val="0"/>
      <w:sz w:val="44"/>
      <w:szCs w:val="20"/>
    </w:rPr>
  </w:style>
  <w:style w:type="paragraph" w:customStyle="1" w:styleId="78">
    <w:name w:val="正文表格"/>
    <w:basedOn w:val="1"/>
    <w:qFormat/>
    <w:uiPriority w:val="0"/>
    <w:pPr>
      <w:adjustRightInd w:val="0"/>
      <w:spacing w:before="40" w:after="40"/>
    </w:pPr>
  </w:style>
  <w:style w:type="paragraph" w:customStyle="1" w:styleId="79">
    <w:name w:val=" Char Char14 Char Char"/>
    <w:basedOn w:val="1"/>
    <w:qFormat/>
    <w:uiPriority w:val="0"/>
    <w:rPr>
      <w:sz w:val="21"/>
      <w:szCs w:val="24"/>
    </w:rPr>
  </w:style>
  <w:style w:type="paragraph" w:customStyle="1" w:styleId="80">
    <w:name w:val="文章正文"/>
    <w:basedOn w:val="1"/>
    <w:qFormat/>
    <w:uiPriority w:val="0"/>
    <w:pPr>
      <w:ind w:firstLine="560" w:firstLineChars="200"/>
    </w:pPr>
    <w:rPr>
      <w:rFonts w:ascii="仿宋_GB2312" w:hAnsi="宋体" w:eastAsia="仿宋_GB2312"/>
      <w:color w:val="000000"/>
    </w:rPr>
  </w:style>
  <w:style w:type="paragraph" w:customStyle="1" w:styleId="81">
    <w:name w:val="IN Feature"/>
    <w:next w:val="71"/>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82">
    <w:name w:val="标题2"/>
    <w:basedOn w:val="3"/>
    <w:qFormat/>
    <w:uiPriority w:val="0"/>
    <w:pPr>
      <w:adjustRightInd w:val="0"/>
      <w:snapToGrid w:val="0"/>
      <w:ind w:firstLine="574" w:firstLineChars="196"/>
      <w:jc w:val="both"/>
      <w:outlineLvl w:val="9"/>
    </w:pPr>
    <w:rPr>
      <w:rFonts w:ascii="宋体" w:hAnsi="宋体" w:eastAsia="宋体" w:cs="Times New Roman"/>
      <w:bCs w:val="0"/>
      <w:spacing w:val="6"/>
      <w:sz w:val="28"/>
      <w:szCs w:val="20"/>
    </w:rPr>
  </w:style>
  <w:style w:type="paragraph" w:customStyle="1" w:styleId="83">
    <w:name w:val="样式 正文缩进正文（首行缩进两字）表正文正文非缩进特点标题4段1 + 首行缩进:  2 字符"/>
    <w:basedOn w:val="18"/>
    <w:qFormat/>
    <w:uiPriority w:val="0"/>
    <w:pPr>
      <w:ind w:firstLine="480" w:firstLineChars="200"/>
    </w:pPr>
  </w:style>
  <w:style w:type="paragraph" w:customStyle="1" w:styleId="84">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85">
    <w:name w:val="Revision"/>
    <w:qFormat/>
    <w:uiPriority w:val="0"/>
    <w:rPr>
      <w:rFonts w:ascii="Times New Roman" w:hAnsi="Times New Roman" w:eastAsia="宋体" w:cs="Times New Roman"/>
      <w:kern w:val="2"/>
      <w:sz w:val="21"/>
      <w:szCs w:val="20"/>
      <w:lang w:val="en-US" w:eastAsia="zh-CN" w:bidi="ar-SA"/>
    </w:rPr>
  </w:style>
  <w:style w:type="paragraph" w:customStyle="1" w:styleId="86">
    <w:name w:val="表文字"/>
    <w:qFormat/>
    <w:uiPriority w:val="0"/>
    <w:rPr>
      <w:rFonts w:ascii="宋体" w:hAnsi="Times New Roman" w:eastAsia="宋体" w:cs="Times New Roman"/>
      <w:kern w:val="2"/>
      <w:sz w:val="20"/>
      <w:szCs w:val="20"/>
      <w:lang w:val="en-US" w:eastAsia="zh-CN" w:bidi="ar-SA"/>
    </w:rPr>
  </w:style>
  <w:style w:type="paragraph" w:customStyle="1" w:styleId="87">
    <w:name w:val="正文4"/>
    <w:basedOn w:val="1"/>
    <w:qFormat/>
    <w:uiPriority w:val="0"/>
    <w:pPr>
      <w:tabs>
        <w:tab w:val="left" w:pos="1275"/>
      </w:tabs>
      <w:spacing w:before="60" w:after="60" w:line="360" w:lineRule="auto"/>
      <w:ind w:left="820" w:leftChars="400" w:hanging="705"/>
    </w:pPr>
  </w:style>
  <w:style w:type="paragraph" w:customStyle="1" w:styleId="8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89">
    <w:name w:val="Item List"/>
    <w:qFormat/>
    <w:uiPriority w:val="0"/>
    <w:pPr>
      <w:numPr>
        <w:ilvl w:val="0"/>
        <w:numId w:val="6"/>
      </w:numPr>
      <w:spacing w:line="300" w:lineRule="auto"/>
      <w:jc w:val="both"/>
    </w:pPr>
    <w:rPr>
      <w:rFonts w:ascii="Arial" w:hAnsi="Arial" w:eastAsia="宋体" w:cs="Times New Roman"/>
      <w:kern w:val="0"/>
      <w:sz w:val="21"/>
      <w:szCs w:val="20"/>
      <w:lang w:val="en-US" w:eastAsia="zh-CN" w:bidi="ar-SA"/>
    </w:rPr>
  </w:style>
  <w:style w:type="paragraph" w:customStyle="1" w:styleId="90">
    <w:name w:val="默认段落字体 Para Char Char Char Char Char Char Char Char Char1 Char Char Char Char"/>
    <w:basedOn w:val="1"/>
    <w:qFormat/>
    <w:uiPriority w:val="0"/>
    <w:rPr>
      <w:rFonts w:ascii="Tahoma" w:hAnsi="Tahoma"/>
    </w:rPr>
  </w:style>
  <w:style w:type="paragraph" w:customStyle="1" w:styleId="9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92">
    <w:name w:val="内容标题"/>
    <w:basedOn w:val="20"/>
    <w:qFormat/>
    <w:uiPriority w:val="0"/>
    <w:rPr>
      <w:rFonts w:ascii="Tahoma" w:hAnsi="Tahoma"/>
    </w:rPr>
  </w:style>
  <w:style w:type="paragraph" w:customStyle="1" w:styleId="93">
    <w:name w:val="二级条标题"/>
    <w:basedOn w:val="94"/>
    <w:next w:val="96"/>
    <w:qFormat/>
    <w:uiPriority w:val="0"/>
    <w:pPr>
      <w:ind w:left="840"/>
      <w:outlineLvl w:val="3"/>
    </w:pPr>
  </w:style>
  <w:style w:type="paragraph" w:customStyle="1" w:styleId="94">
    <w:name w:val="一级条标题"/>
    <w:basedOn w:val="95"/>
    <w:next w:val="96"/>
    <w:qFormat/>
    <w:uiPriority w:val="0"/>
    <w:pPr>
      <w:numPr>
        <w:ilvl w:val="1"/>
        <w:numId w:val="0"/>
      </w:numPr>
      <w:spacing w:before="0" w:beforeLines="0" w:after="0" w:afterLines="0"/>
      <w:ind w:left="525"/>
      <w:outlineLvl w:val="2"/>
    </w:pPr>
    <w:rPr>
      <w:sz w:val="21"/>
    </w:rPr>
  </w:style>
  <w:style w:type="paragraph" w:customStyle="1" w:styleId="95">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kern w:val="0"/>
      <w:sz w:val="24"/>
      <w:szCs w:val="20"/>
      <w:lang w:val="en-US" w:eastAsia="zh-CN" w:bidi="ar-SA"/>
    </w:rPr>
  </w:style>
  <w:style w:type="paragraph" w:customStyle="1" w:styleId="96">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97">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99">
    <w:name w:val=" Char1"/>
    <w:basedOn w:val="1"/>
    <w:qFormat/>
    <w:uiPriority w:val="0"/>
    <w:rPr>
      <w:sz w:val="21"/>
    </w:rPr>
  </w:style>
  <w:style w:type="paragraph" w:customStyle="1" w:styleId="100">
    <w:name w:val="表头样式"/>
    <w:basedOn w:val="1"/>
    <w:qFormat/>
    <w:uiPriority w:val="0"/>
    <w:pPr>
      <w:autoSpaceDE w:val="0"/>
      <w:autoSpaceDN w:val="0"/>
      <w:adjustRightInd w:val="0"/>
      <w:spacing w:line="360" w:lineRule="auto"/>
      <w:jc w:val="left"/>
    </w:pPr>
    <w:rPr>
      <w:b/>
      <w:kern w:val="0"/>
      <w:sz w:val="21"/>
    </w:rPr>
  </w:style>
  <w:style w:type="paragraph" w:customStyle="1" w:styleId="101">
    <w:name w:val="Char"/>
    <w:basedOn w:val="1"/>
    <w:qFormat/>
    <w:uiPriority w:val="0"/>
    <w:pPr>
      <w:spacing w:line="240" w:lineRule="atLeast"/>
      <w:ind w:left="420" w:firstLine="420"/>
    </w:pPr>
    <w:rPr>
      <w:kern w:val="0"/>
      <w:sz w:val="21"/>
    </w:rPr>
  </w:style>
  <w:style w:type="paragraph" w:customStyle="1" w:styleId="102">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03">
    <w:name w:val=" Char Char1"/>
    <w:basedOn w:val="1"/>
    <w:qFormat/>
    <w:uiPriority w:val="0"/>
    <w:pPr>
      <w:widowControl/>
      <w:spacing w:after="160" w:line="240" w:lineRule="exact"/>
      <w:jc w:val="left"/>
    </w:pPr>
    <w:rPr>
      <w:rFonts w:ascii="Verdana" w:hAnsi="Verdana"/>
      <w:kern w:val="0"/>
      <w:sz w:val="20"/>
      <w:lang w:eastAsia="en-US"/>
    </w:rPr>
  </w:style>
  <w:style w:type="paragraph" w:customStyle="1" w:styleId="104">
    <w:name w:val="样式 标题 1章标题Heading 0Section HeadPIM 1H1h11st levell11H1..."/>
    <w:basedOn w:val="2"/>
    <w:qFormat/>
    <w:uiPriority w:val="0"/>
    <w:pPr>
      <w:pageBreakBefore/>
      <w:tabs>
        <w:tab w:val="left" w:pos="432"/>
      </w:tabs>
      <w:autoSpaceDE w:val="0"/>
      <w:autoSpaceDN w:val="0"/>
      <w:adjustRightInd w:val="0"/>
      <w:snapToGrid w:val="0"/>
      <w:spacing w:before="340" w:after="330" w:line="578" w:lineRule="atLeast"/>
      <w:textAlignment w:val="bottom"/>
    </w:pPr>
    <w:rPr>
      <w:rFonts w:ascii="宋体" w:hAnsi="宋体" w:eastAsia="黑体" w:cs="Times New Roman"/>
      <w:bCs w:val="0"/>
      <w:sz w:val="36"/>
      <w:szCs w:val="20"/>
    </w:rPr>
  </w:style>
  <w:style w:type="paragraph" w:customStyle="1" w:styleId="105">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06">
    <w:name w:val="默认段落字体 Para Char Char Char Char Char Char Char"/>
    <w:basedOn w:val="1"/>
    <w:qFormat/>
    <w:uiPriority w:val="0"/>
    <w:rPr>
      <w:rFonts w:ascii="Tahoma" w:hAnsi="Tahoma"/>
    </w:rPr>
  </w:style>
  <w:style w:type="paragraph" w:customStyle="1" w:styleId="107">
    <w:name w:val="摘要"/>
    <w:basedOn w:val="1"/>
    <w:next w:val="3"/>
    <w:qFormat/>
    <w:uiPriority w:val="0"/>
    <w:pPr>
      <w:spacing w:line="360" w:lineRule="auto"/>
    </w:pPr>
    <w:rPr>
      <w:rFonts w:eastAsia="黑体"/>
      <w:sz w:val="20"/>
    </w:rPr>
  </w:style>
  <w:style w:type="paragraph" w:customStyle="1" w:styleId="108">
    <w:name w:val="没有缩进（为图形使用）"/>
    <w:basedOn w:val="1"/>
    <w:qFormat/>
    <w:uiPriority w:val="0"/>
    <w:pPr>
      <w:spacing w:before="120" w:after="120" w:line="360" w:lineRule="auto"/>
    </w:pPr>
  </w:style>
  <w:style w:type="paragraph" w:customStyle="1" w:styleId="109">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1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11">
    <w:name w:val="Style Heading 3h3Heading 3 - oldLevel 3 HeadH3level_3PIM 3se..."/>
    <w:basedOn w:val="4"/>
    <w:qFormat/>
    <w:uiPriority w:val="0"/>
    <w:pPr>
      <w:numPr>
        <w:ilvl w:val="2"/>
        <w:numId w:val="2"/>
      </w:numPr>
      <w:tabs>
        <w:tab w:val="left" w:pos="709"/>
        <w:tab w:val="left" w:pos="1620"/>
      </w:tabs>
      <w:spacing w:before="260" w:after="260" w:line="413" w:lineRule="auto"/>
      <w:ind w:firstLineChars="0"/>
    </w:pPr>
    <w:rPr>
      <w:rFonts w:ascii="Times New Roman" w:hAnsi="Times New Roman" w:eastAsia="宋体" w:cs="Times New Roman"/>
      <w:sz w:val="32"/>
      <w:szCs w:val="20"/>
    </w:rPr>
  </w:style>
  <w:style w:type="paragraph" w:customStyle="1" w:styleId="112">
    <w:name w:val="Table Text Char1"/>
    <w:uiPriority w:val="0"/>
    <w:pPr>
      <w:snapToGrid w:val="0"/>
      <w:spacing w:before="80" w:after="80"/>
    </w:pPr>
    <w:rPr>
      <w:rFonts w:ascii="Arial" w:hAnsi="Arial" w:eastAsia="宋体" w:cs="Times New Roman"/>
      <w:kern w:val="2"/>
      <w:sz w:val="18"/>
      <w:szCs w:val="20"/>
      <w:lang w:val="en-US" w:eastAsia="zh-CN" w:bidi="ar-SA"/>
    </w:rPr>
  </w:style>
  <w:style w:type="paragraph" w:customStyle="1" w:styleId="113">
    <w:name w:val="表号"/>
    <w:basedOn w:val="1"/>
    <w:qFormat/>
    <w:uiPriority w:val="0"/>
    <w:pPr>
      <w:numPr>
        <w:ilvl w:val="0"/>
        <w:numId w:val="7"/>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1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15">
    <w:name w:val="样式 正文首行缩进 2 + 首行缩进:  2 字符"/>
    <w:basedOn w:val="1"/>
    <w:qFormat/>
    <w:uiPriority w:val="0"/>
    <w:pPr>
      <w:numPr>
        <w:ilvl w:val="0"/>
        <w:numId w:val="8"/>
      </w:numPr>
      <w:adjustRightInd w:val="0"/>
      <w:snapToGrid w:val="0"/>
      <w:spacing w:line="360" w:lineRule="auto"/>
    </w:pPr>
    <w:rPr>
      <w:rFonts w:ascii="Arial" w:hAnsi="Arial"/>
      <w:b/>
    </w:rPr>
  </w:style>
  <w:style w:type="paragraph" w:customStyle="1" w:styleId="116">
    <w:name w:val="表格内文字"/>
    <w:basedOn w:val="32"/>
    <w:qFormat/>
    <w:uiPriority w:val="0"/>
    <w:pPr>
      <w:adjustRightInd w:val="0"/>
    </w:pPr>
    <w:rPr>
      <w:color w:val="000000"/>
    </w:rPr>
  </w:style>
  <w:style w:type="paragraph" w:customStyle="1" w:styleId="117">
    <w:name w:val="标书正文:  0.74 厘米"/>
    <w:basedOn w:val="1"/>
    <w:qFormat/>
    <w:uiPriority w:val="0"/>
    <w:pPr>
      <w:snapToGrid w:val="0"/>
      <w:spacing w:line="360" w:lineRule="auto"/>
      <w:ind w:firstLine="420"/>
    </w:pPr>
  </w:style>
  <w:style w:type="paragraph" w:customStyle="1" w:styleId="118">
    <w:name w:val="编号正文"/>
    <w:basedOn w:val="119"/>
    <w:qFormat/>
    <w:uiPriority w:val="0"/>
    <w:pPr>
      <w:snapToGrid/>
      <w:spacing w:line="360" w:lineRule="auto"/>
      <w:ind w:left="1407" w:hanging="1047"/>
      <w:jc w:val="left"/>
    </w:pPr>
    <w:rPr>
      <w:rFonts w:eastAsia="仿宋_GB2312"/>
    </w:rPr>
  </w:style>
  <w:style w:type="paragraph" w:customStyle="1" w:styleId="119">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120">
    <w:name w:val=" Char Char 字元 字元 字元 Char Char Char Char"/>
    <w:basedOn w:val="1"/>
    <w:qFormat/>
    <w:uiPriority w:val="0"/>
    <w:pPr>
      <w:adjustRightInd w:val="0"/>
      <w:spacing w:line="360" w:lineRule="auto"/>
    </w:pPr>
    <w:rPr>
      <w:kern w:val="0"/>
    </w:rPr>
  </w:style>
  <w:style w:type="paragraph" w:customStyle="1" w:styleId="121">
    <w:name w:val="样式1xz"/>
    <w:basedOn w:val="1"/>
    <w:qFormat/>
    <w:uiPriority w:val="0"/>
    <w:pPr>
      <w:tabs>
        <w:tab w:val="left" w:pos="1050"/>
        <w:tab w:val="right" w:leader="dot" w:pos="8296"/>
      </w:tabs>
    </w:pPr>
    <w:rPr>
      <w:caps/>
      <w:spacing w:val="20"/>
    </w:rPr>
  </w:style>
  <w:style w:type="paragraph" w:customStyle="1" w:styleId="122">
    <w:name w:val="Body Text Indent 2"/>
    <w:basedOn w:val="1"/>
    <w:qFormat/>
    <w:uiPriority w:val="0"/>
    <w:pPr>
      <w:adjustRightInd w:val="0"/>
      <w:spacing w:before="120"/>
      <w:ind w:firstLine="420"/>
      <w:textAlignment w:val="baseline"/>
    </w:pPr>
  </w:style>
  <w:style w:type="paragraph" w:customStyle="1" w:styleId="123">
    <w:name w:val="首行缩进 1"/>
    <w:basedOn w:val="1"/>
    <w:qFormat/>
    <w:uiPriority w:val="0"/>
    <w:pPr>
      <w:spacing w:after="120" w:line="360" w:lineRule="auto"/>
      <w:ind w:firstLine="200" w:firstLineChars="200"/>
    </w:pPr>
  </w:style>
  <w:style w:type="paragraph" w:customStyle="1" w:styleId="12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 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6">
    <w:name w:val="正文字缩2字"/>
    <w:basedOn w:val="1"/>
    <w:qFormat/>
    <w:uiPriority w:val="0"/>
    <w:pPr>
      <w:spacing w:before="60" w:after="60" w:line="360" w:lineRule="auto"/>
      <w:ind w:left="200" w:leftChars="200" w:firstLine="200" w:firstLineChars="200"/>
    </w:pPr>
  </w:style>
  <w:style w:type="paragraph" w:customStyle="1" w:styleId="127">
    <w:name w:val="司法正文"/>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12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2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Title - Revision"/>
    <w:basedOn w:val="56"/>
    <w:qFormat/>
    <w:uiPriority w:val="0"/>
    <w:pPr>
      <w:spacing w:before="720" w:after="240" w:line="360" w:lineRule="auto"/>
      <w:outlineLvl w:val="9"/>
    </w:pPr>
    <w:rPr>
      <w:rFonts w:ascii="Arial" w:hAnsi="Arial" w:eastAsia="宋体" w:cs="Times New Roman"/>
      <w:bCs w:val="0"/>
      <w:smallCaps/>
      <w:kern w:val="28"/>
      <w:sz w:val="36"/>
      <w:szCs w:val="20"/>
      <w:lang w:eastAsia="en-US"/>
    </w:rPr>
  </w:style>
  <w:style w:type="paragraph" w:customStyle="1" w:styleId="131">
    <w:name w:val=" Char Char Char Char Char Char Char"/>
    <w:basedOn w:val="1"/>
    <w:qFormat/>
    <w:uiPriority w:val="0"/>
    <w:rPr>
      <w:rFonts w:ascii="Tahoma" w:hAnsi="Tahoma"/>
    </w:rPr>
  </w:style>
  <w:style w:type="paragraph" w:customStyle="1" w:styleId="132">
    <w:name w:val="Char1 Char Char Char"/>
    <w:basedOn w:val="1"/>
    <w:qFormat/>
    <w:uiPriority w:val="0"/>
    <w:rPr>
      <w:rFonts w:ascii="Tahoma" w:hAnsi="Tahoma"/>
      <w:sz w:val="30"/>
    </w:rPr>
  </w:style>
  <w:style w:type="paragraph" w:customStyle="1" w:styleId="133">
    <w:name w:val="简单回函地址"/>
    <w:basedOn w:val="1"/>
    <w:qFormat/>
    <w:uiPriority w:val="0"/>
    <w:pPr>
      <w:adjustRightInd w:val="0"/>
      <w:snapToGrid w:val="0"/>
      <w:spacing w:line="360" w:lineRule="auto"/>
    </w:pPr>
  </w:style>
  <w:style w:type="paragraph" w:customStyle="1" w:styleId="134">
    <w:name w:val="样式 样式 首行缩进:  2 字符 + 首行缩进:  2 字符"/>
    <w:basedOn w:val="1"/>
    <w:qFormat/>
    <w:uiPriority w:val="0"/>
    <w:pPr>
      <w:numPr>
        <w:ilvl w:val="0"/>
        <w:numId w:val="9"/>
      </w:numPr>
      <w:spacing w:line="360" w:lineRule="auto"/>
      <w:ind w:firstLine="480" w:firstLineChars="200"/>
    </w:pPr>
  </w:style>
  <w:style w:type="paragraph" w:customStyle="1" w:styleId="135">
    <w:name w:val="正文（首行不缩进）"/>
    <w:basedOn w:val="1"/>
    <w:qFormat/>
    <w:uiPriority w:val="0"/>
    <w:pPr>
      <w:autoSpaceDE w:val="0"/>
      <w:autoSpaceDN w:val="0"/>
      <w:adjustRightInd w:val="0"/>
      <w:spacing w:line="360" w:lineRule="auto"/>
      <w:jc w:val="left"/>
    </w:pPr>
    <w:rPr>
      <w:kern w:val="0"/>
      <w:sz w:val="21"/>
    </w:rPr>
  </w:style>
  <w:style w:type="paragraph" w:customStyle="1" w:styleId="13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7">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8">
    <w:name w:val=" Char Char1 Char"/>
    <w:basedOn w:val="1"/>
    <w:qFormat/>
    <w:uiPriority w:val="0"/>
    <w:rPr>
      <w:rFonts w:ascii="Tahoma" w:hAnsi="Tahoma"/>
      <w:szCs w:val="24"/>
    </w:rPr>
  </w:style>
  <w:style w:type="paragraph" w:customStyle="1" w:styleId="139">
    <w:name w:val=" 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0">
    <w:name w:val="正文格式 Char"/>
    <w:basedOn w:val="1"/>
    <w:qFormat/>
    <w:uiPriority w:val="0"/>
    <w:pPr>
      <w:widowControl/>
      <w:adjustRightInd w:val="0"/>
      <w:spacing w:line="440" w:lineRule="atLeast"/>
      <w:ind w:firstLine="510"/>
      <w:textAlignment w:val="baseline"/>
    </w:pPr>
    <w:rPr>
      <w:kern w:val="0"/>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42">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143">
    <w:name w:val="普通正文"/>
    <w:basedOn w:val="1"/>
    <w:qFormat/>
    <w:uiPriority w:val="0"/>
    <w:pPr>
      <w:adjustRightInd w:val="0"/>
      <w:spacing w:before="120" w:after="120" w:line="360" w:lineRule="auto"/>
      <w:ind w:firstLine="480"/>
      <w:jc w:val="left"/>
      <w:textAlignment w:val="baseline"/>
    </w:pPr>
    <w:rPr>
      <w:rFonts w:ascii="Arial" w:hAnsi="Arial"/>
      <w:kern w:val="0"/>
    </w:rPr>
  </w:style>
  <w:style w:type="paragraph" w:customStyle="1" w:styleId="144">
    <w:name w:val=" Char Char Char Char Char Char Char Char Char Char Char Char Char Char Char Char"/>
    <w:basedOn w:val="1"/>
    <w:qFormat/>
    <w:uiPriority w:val="0"/>
    <w:pPr>
      <w:tabs>
        <w:tab w:val="left" w:pos="360"/>
      </w:tabs>
    </w:pPr>
  </w:style>
  <w:style w:type="paragraph" w:customStyle="1" w:styleId="145">
    <w:name w:val="段落正文"/>
    <w:basedOn w:val="1"/>
    <w:qFormat/>
    <w:uiPriority w:val="0"/>
    <w:pPr>
      <w:spacing w:before="156" w:beforeLines="50" w:line="360" w:lineRule="auto"/>
      <w:ind w:firstLine="200" w:firstLineChars="200"/>
    </w:pPr>
    <w:rPr>
      <w:spacing w:val="2"/>
    </w:rPr>
  </w:style>
  <w:style w:type="paragraph" w:customStyle="1" w:styleId="146">
    <w:name w:val="样式 标题 1 + 居中 段前: 6 磅 段后: 6 磅 行距: 1.5 倍行距"/>
    <w:basedOn w:val="2"/>
    <w:qFormat/>
    <w:uiPriority w:val="0"/>
    <w:pPr>
      <w:adjustRightInd w:val="0"/>
      <w:snapToGrid w:val="0"/>
      <w:spacing w:before="120" w:after="120" w:line="360" w:lineRule="auto"/>
      <w:jc w:val="center"/>
    </w:pPr>
    <w:rPr>
      <w:rFonts w:ascii="Times New Roman" w:hAnsi="Times New Roman" w:eastAsia="宋体" w:cs="Times New Roman"/>
      <w:bCs w:val="0"/>
      <w:sz w:val="32"/>
      <w:szCs w:val="20"/>
    </w:rPr>
  </w:style>
  <w:style w:type="paragraph" w:customStyle="1" w:styleId="147">
    <w:name w:val="文本1"/>
    <w:basedOn w:val="1"/>
    <w:qFormat/>
    <w:uiPriority w:val="0"/>
    <w:pPr>
      <w:adjustRightInd w:val="0"/>
      <w:spacing w:line="312" w:lineRule="atLeast"/>
      <w:jc w:val="center"/>
      <w:textAlignment w:val="baseline"/>
    </w:pPr>
    <w:rPr>
      <w:kern w:val="0"/>
      <w:sz w:val="18"/>
    </w:rPr>
  </w:style>
  <w:style w:type="paragraph" w:customStyle="1" w:styleId="148">
    <w:name w:val="图例"/>
    <w:basedOn w:val="1"/>
    <w:qFormat/>
    <w:uiPriority w:val="0"/>
    <w:pPr>
      <w:spacing w:before="120" w:after="120" w:line="360" w:lineRule="auto"/>
      <w:jc w:val="center"/>
    </w:pPr>
    <w:rPr>
      <w:rFonts w:eastAsia="仿宋_GB2312"/>
      <w:b/>
    </w:rPr>
  </w:style>
  <w:style w:type="paragraph" w:customStyle="1" w:styleId="149">
    <w:name w:val="样式4"/>
    <w:basedOn w:val="5"/>
    <w:qFormat/>
    <w:uiPriority w:val="0"/>
    <w:pPr>
      <w:adjustRightInd w:val="0"/>
      <w:snapToGrid w:val="0"/>
    </w:pPr>
  </w:style>
  <w:style w:type="paragraph" w:customStyle="1" w:styleId="150">
    <w:name w:val="Note"/>
    <w:basedOn w:val="1"/>
    <w:qFormat/>
    <w:uiPriority w:val="0"/>
    <w:pPr>
      <w:pBdr>
        <w:top w:val="single" w:color="auto" w:sz="12" w:space="3"/>
        <w:bottom w:val="single" w:color="auto" w:sz="12" w:space="3"/>
      </w:pBdr>
      <w:spacing w:line="360" w:lineRule="auto"/>
    </w:pPr>
  </w:style>
  <w:style w:type="paragraph" w:customStyle="1" w:styleId="151">
    <w:name w:val="附录3"/>
    <w:basedOn w:val="1"/>
    <w:next w:val="1"/>
    <w:qFormat/>
    <w:uiPriority w:val="0"/>
    <w:pPr>
      <w:tabs>
        <w:tab w:val="left" w:pos="851"/>
      </w:tabs>
      <w:ind w:left="425" w:hanging="425"/>
      <w:outlineLvl w:val="2"/>
    </w:pPr>
    <w:rPr>
      <w:rFonts w:eastAsia="黑体"/>
      <w:b/>
      <w:sz w:val="32"/>
    </w:rPr>
  </w:style>
  <w:style w:type="paragraph" w:customStyle="1" w:styleId="152">
    <w:name w:val="È±Ê¡ÎÄ±¾"/>
    <w:basedOn w:val="1"/>
    <w:qFormat/>
    <w:uiPriority w:val="0"/>
    <w:pPr>
      <w:widowControl/>
      <w:overflowPunct w:val="0"/>
      <w:autoSpaceDE w:val="0"/>
      <w:autoSpaceDN w:val="0"/>
      <w:adjustRightInd w:val="0"/>
      <w:jc w:val="left"/>
      <w:textAlignment w:val="baseline"/>
    </w:pPr>
    <w:rPr>
      <w:kern w:val="0"/>
      <w:lang w:val="en-US" w:eastAsia="zh-CN"/>
    </w:rPr>
  </w:style>
  <w:style w:type="paragraph" w:customStyle="1" w:styleId="153">
    <w:name w:val="标准正文"/>
    <w:basedOn w:val="25"/>
    <w:qFormat/>
    <w:uiPriority w:val="0"/>
    <w:pPr>
      <w:spacing w:before="60" w:after="60" w:line="360" w:lineRule="auto"/>
      <w:ind w:left="0" w:leftChars="0" w:firstLine="482"/>
    </w:pPr>
    <w:rPr>
      <w:rFonts w:ascii="Arial" w:hAnsi="Arial"/>
    </w:rPr>
  </w:style>
  <w:style w:type="paragraph" w:customStyle="1" w:styleId="154">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55">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56">
    <w:name w:val="CSS1级正文 Char"/>
    <w:basedOn w:val="24"/>
    <w:qFormat/>
    <w:uiPriority w:val="0"/>
    <w:pPr>
      <w:adjustRightInd w:val="0"/>
      <w:snapToGrid w:val="0"/>
      <w:spacing w:line="360" w:lineRule="auto"/>
      <w:ind w:firstLine="480"/>
    </w:pPr>
    <w:rPr>
      <w:rFonts w:ascii="Times New Roman" w:hAnsi="Times New Roman" w:eastAsia="宋体" w:cs="Times New Roman"/>
      <w:lang w:val="en-US" w:bidi="ar-SA"/>
    </w:rPr>
  </w:style>
  <w:style w:type="paragraph" w:customStyle="1" w:styleId="157">
    <w:name w:val="List Paragraph1"/>
    <w:basedOn w:val="1"/>
    <w:qFormat/>
    <w:uiPriority w:val="0"/>
    <w:pPr>
      <w:ind w:firstLine="420" w:firstLineChars="200"/>
    </w:pPr>
    <w:rPr>
      <w:sz w:val="21"/>
    </w:rPr>
  </w:style>
  <w:style w:type="paragraph" w:customStyle="1" w:styleId="158">
    <w:name w:val="文本框样式1"/>
    <w:basedOn w:val="1"/>
    <w:qFormat/>
    <w:uiPriority w:val="0"/>
    <w:pPr>
      <w:adjustRightInd w:val="0"/>
      <w:snapToGrid w:val="0"/>
      <w:spacing w:before="60" w:line="180" w:lineRule="exact"/>
      <w:jc w:val="center"/>
    </w:pPr>
    <w:rPr>
      <w:sz w:val="21"/>
    </w:rPr>
  </w:style>
  <w:style w:type="paragraph" w:customStyle="1" w:styleId="159">
    <w:name w:val="二级列表"/>
    <w:basedOn w:val="145"/>
    <w:next w:val="145"/>
    <w:qFormat/>
    <w:uiPriority w:val="0"/>
    <w:pPr>
      <w:tabs>
        <w:tab w:val="left" w:pos="2120"/>
      </w:tabs>
      <w:ind w:firstLine="0" w:firstLineChars="0"/>
    </w:pPr>
    <w:rPr>
      <w:b/>
    </w:rPr>
  </w:style>
  <w:style w:type="paragraph" w:customStyle="1" w:styleId="160">
    <w:name w:val="Table Contents"/>
    <w:basedOn w:val="24"/>
    <w:qFormat/>
    <w:uiPriority w:val="0"/>
    <w:pPr>
      <w:suppressAutoHyphens/>
      <w:spacing w:line="240" w:lineRule="auto"/>
    </w:pPr>
    <w:rPr>
      <w:rFonts w:ascii="Times New Roman" w:hAnsi="Times New Roman" w:eastAsia="Times New Roman" w:cs="Times New Roman"/>
      <w:lang w:val="en-US" w:bidi="ar-SA"/>
    </w:rPr>
  </w:style>
  <w:style w:type="paragraph" w:customStyle="1" w:styleId="161">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3">
    <w:name w:val="00"/>
    <w:basedOn w:val="1"/>
    <w:qFormat/>
    <w:uiPriority w:val="0"/>
    <w:pPr>
      <w:autoSpaceDE w:val="0"/>
      <w:autoSpaceDN w:val="0"/>
      <w:adjustRightInd w:val="0"/>
      <w:jc w:val="left"/>
    </w:pPr>
    <w:rPr>
      <w:rFonts w:ascii="黑体" w:eastAsia="黑体"/>
      <w:b/>
      <w:kern w:val="0"/>
      <w:sz w:val="20"/>
    </w:rPr>
  </w:style>
  <w:style w:type="paragraph" w:customStyle="1" w:styleId="164">
    <w:name w:val="Title - Date"/>
    <w:basedOn w:val="56"/>
    <w:next w:val="1"/>
    <w:qFormat/>
    <w:uiPriority w:val="0"/>
    <w:pPr>
      <w:spacing w:before="240" w:after="720" w:line="360" w:lineRule="auto"/>
      <w:outlineLvl w:val="9"/>
    </w:pPr>
    <w:rPr>
      <w:rFonts w:ascii="Arial" w:hAnsi="Arial" w:eastAsia="宋体" w:cs="Times New Roman"/>
      <w:bCs w:val="0"/>
      <w:smallCaps/>
      <w:kern w:val="28"/>
      <w:sz w:val="28"/>
      <w:szCs w:val="20"/>
      <w:lang w:eastAsia="en-US"/>
    </w:rPr>
  </w:style>
  <w:style w:type="paragraph" w:customStyle="1" w:styleId="165">
    <w:name w:val="Char Char Char Char Char Char Char"/>
    <w:basedOn w:val="20"/>
    <w:uiPriority w:val="0"/>
    <w:rPr>
      <w:rFonts w:ascii="宋体" w:hAnsi="Tahoma"/>
    </w:rPr>
  </w:style>
  <w:style w:type="paragraph" w:customStyle="1" w:styleId="166">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167">
    <w:name w:val="标题无"/>
    <w:basedOn w:val="1"/>
    <w:qFormat/>
    <w:uiPriority w:val="0"/>
    <w:pPr>
      <w:spacing w:line="360" w:lineRule="auto"/>
    </w:pPr>
    <w:rPr>
      <w:lang w:val="en-US" w:eastAsia="zh-CN"/>
    </w:rPr>
  </w:style>
  <w:style w:type="paragraph" w:customStyle="1" w:styleId="168">
    <w:name w:val="1"/>
    <w:basedOn w:val="1"/>
    <w:next w:val="32"/>
    <w:qFormat/>
    <w:uiPriority w:val="0"/>
    <w:rPr>
      <w:rFonts w:ascii="宋体" w:hAnsi="Courier New"/>
      <w:sz w:val="21"/>
    </w:rPr>
  </w:style>
  <w:style w:type="paragraph" w:customStyle="1" w:styleId="16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0">
    <w:name w:val="可研正文"/>
    <w:basedOn w:val="24"/>
    <w:qFormat/>
    <w:uiPriority w:val="0"/>
    <w:pPr>
      <w:adjustRightInd w:val="0"/>
      <w:snapToGrid w:val="0"/>
      <w:spacing w:line="440" w:lineRule="exact"/>
      <w:ind w:firstLine="567"/>
    </w:pPr>
    <w:rPr>
      <w:rFonts w:ascii="仿宋_GB2312" w:hAnsi="Times New Roman" w:eastAsia="仿宋_GB2312" w:cs="Times New Roman"/>
      <w:sz w:val="28"/>
      <w:lang w:val="en-US" w:bidi="ar-SA"/>
    </w:rPr>
  </w:style>
  <w:style w:type="paragraph" w:customStyle="1" w:styleId="171">
    <w:name w:val="项目"/>
    <w:basedOn w:val="1"/>
    <w:qFormat/>
    <w:uiPriority w:val="0"/>
    <w:pPr>
      <w:tabs>
        <w:tab w:val="left" w:pos="1280"/>
      </w:tabs>
      <w:spacing w:before="120" w:after="120" w:line="360" w:lineRule="auto"/>
      <w:ind w:left="-7" w:firstLine="567"/>
      <w:jc w:val="left"/>
      <w:textAlignment w:val="baseline"/>
    </w:pPr>
    <w:rPr>
      <w:rFonts w:ascii="宋体"/>
      <w:kern w:val="0"/>
    </w:rPr>
  </w:style>
  <w:style w:type="paragraph" w:customStyle="1" w:styleId="172">
    <w:name w:val=" Char Char Char Char Char Char Char Char Char Char Char Char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173">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74">
    <w:name w:val=" Char Char Char"/>
    <w:basedOn w:val="1"/>
    <w:qFormat/>
    <w:uiPriority w:val="0"/>
    <w:rPr>
      <w:rFonts w:ascii="Tahoma" w:hAnsi="Tahoma"/>
    </w:rPr>
  </w:style>
  <w:style w:type="paragraph" w:customStyle="1" w:styleId="175">
    <w:name w:val="样式2"/>
    <w:basedOn w:val="5"/>
    <w:qFormat/>
    <w:uiPriority w:val="0"/>
    <w:pPr>
      <w:numPr>
        <w:ilvl w:val="0"/>
        <w:numId w:val="11"/>
      </w:numPr>
      <w:spacing w:before="560" w:line="400" w:lineRule="exact"/>
      <w:jc w:val="center"/>
      <w:outlineLvl w:val="0"/>
    </w:pPr>
    <w:rPr>
      <w:b/>
      <w:sz w:val="44"/>
    </w:rPr>
  </w:style>
  <w:style w:type="paragraph" w:customStyle="1" w:styleId="176">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77">
    <w:name w:val="af"/>
    <w:basedOn w:val="1"/>
    <w:qFormat/>
    <w:uiPriority w:val="0"/>
    <w:pPr>
      <w:widowControl/>
      <w:spacing w:line="300" w:lineRule="atLeast"/>
      <w:jc w:val="left"/>
    </w:pPr>
    <w:rPr>
      <w:rFonts w:ascii="宋体" w:hAnsi="宋体"/>
      <w:kern w:val="0"/>
      <w:sz w:val="18"/>
    </w:rPr>
  </w:style>
  <w:style w:type="paragraph" w:customStyle="1" w:styleId="178">
    <w:name w:val="样式 宋体 五号 行距: 单倍行距"/>
    <w:basedOn w:val="1"/>
    <w:qFormat/>
    <w:uiPriority w:val="0"/>
    <w:pPr>
      <w:adjustRightInd w:val="0"/>
      <w:jc w:val="left"/>
    </w:pPr>
    <w:rPr>
      <w:rFonts w:ascii="宋体" w:hAnsi="宋体"/>
      <w:kern w:val="0"/>
      <w:sz w:val="21"/>
    </w:rPr>
  </w:style>
  <w:style w:type="paragraph" w:customStyle="1" w:styleId="17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0">
    <w:name w:val="正文1"/>
    <w:basedOn w:val="1"/>
    <w:qFormat/>
    <w:uiPriority w:val="0"/>
    <w:pPr>
      <w:spacing w:line="300" w:lineRule="auto"/>
      <w:ind w:firstLine="200" w:firstLineChars="200"/>
    </w:pPr>
  </w:style>
  <w:style w:type="paragraph" w:customStyle="1" w:styleId="181">
    <w:name w:val="关键词"/>
    <w:basedOn w:val="1"/>
    <w:next w:val="1"/>
    <w:qFormat/>
    <w:uiPriority w:val="0"/>
    <w:pPr>
      <w:spacing w:line="360" w:lineRule="auto"/>
    </w:pPr>
    <w:rPr>
      <w:rFonts w:eastAsia="黑体"/>
      <w:sz w:val="20"/>
    </w:rPr>
  </w:style>
  <w:style w:type="paragraph" w:customStyle="1" w:styleId="18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3">
    <w:name w:val="样式 行距: 1.5 倍行距1"/>
    <w:basedOn w:val="1"/>
    <w:qFormat/>
    <w:uiPriority w:val="0"/>
    <w:pPr>
      <w:snapToGrid w:val="0"/>
    </w:pPr>
    <w:rPr>
      <w:sz w:val="21"/>
    </w:rPr>
  </w:style>
  <w:style w:type="paragraph" w:customStyle="1" w:styleId="184">
    <w:name w:val="xl23"/>
    <w:basedOn w:val="1"/>
    <w:qFormat/>
    <w:uiPriority w:val="0"/>
    <w:pPr>
      <w:widowControl/>
      <w:spacing w:before="100" w:beforeAutospacing="1" w:after="100" w:afterAutospacing="1" w:line="360" w:lineRule="auto"/>
      <w:textAlignment w:val="top"/>
    </w:pPr>
    <w:rPr>
      <w:kern w:val="0"/>
    </w:rPr>
  </w:style>
  <w:style w:type="paragraph" w:customStyle="1" w:styleId="18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186">
    <w:name w:val=" Char"/>
    <w:basedOn w:val="1"/>
    <w:qFormat/>
    <w:uiPriority w:val="0"/>
    <w:pPr>
      <w:spacing w:line="240" w:lineRule="atLeast"/>
      <w:ind w:left="420" w:firstLine="420"/>
    </w:pPr>
    <w:rPr>
      <w:kern w:val="0"/>
      <w:sz w:val="21"/>
    </w:rPr>
  </w:style>
  <w:style w:type="paragraph" w:customStyle="1" w:styleId="187">
    <w:name w:val="首行缩进"/>
    <w:basedOn w:val="1"/>
    <w:qFormat/>
    <w:uiPriority w:val="0"/>
    <w:pPr>
      <w:numPr>
        <w:ilvl w:val="0"/>
        <w:numId w:val="12"/>
      </w:numPr>
      <w:spacing w:line="360" w:lineRule="auto"/>
    </w:pPr>
    <w:rPr>
      <w:rFonts w:eastAsia="仿宋_GB2312"/>
    </w:rPr>
  </w:style>
  <w:style w:type="paragraph" w:customStyle="1" w:styleId="188">
    <w:name w:val="样式 首行缩进:  0.74 厘米"/>
    <w:basedOn w:val="1"/>
    <w:qFormat/>
    <w:uiPriority w:val="0"/>
    <w:pPr>
      <w:spacing w:line="360" w:lineRule="auto"/>
      <w:ind w:firstLine="420"/>
    </w:pPr>
  </w:style>
  <w:style w:type="paragraph" w:customStyle="1" w:styleId="189">
    <w:name w:val="_"/>
    <w:basedOn w:val="1"/>
    <w:qFormat/>
    <w:uiPriority w:val="0"/>
    <w:pPr>
      <w:adjustRightInd w:val="0"/>
      <w:spacing w:line="360" w:lineRule="auto"/>
      <w:ind w:left="480" w:firstLine="200" w:firstLineChars="200"/>
      <w:textAlignment w:val="baseline"/>
    </w:pPr>
    <w:rPr>
      <w:kern w:val="0"/>
    </w:rPr>
  </w:style>
  <w:style w:type="paragraph" w:customStyle="1" w:styleId="19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19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rPr>
  </w:style>
  <w:style w:type="paragraph" w:customStyle="1" w:styleId="192">
    <w:name w:val="Body Text 2"/>
    <w:basedOn w:val="1"/>
    <w:qFormat/>
    <w:uiPriority w:val="0"/>
    <w:pPr>
      <w:adjustRightInd w:val="0"/>
      <w:spacing w:before="120" w:line="360" w:lineRule="auto"/>
      <w:ind w:firstLine="480"/>
      <w:textAlignment w:val="baseline"/>
    </w:pPr>
  </w:style>
  <w:style w:type="paragraph" w:customStyle="1" w:styleId="193">
    <w:name w:val="标题3——2"/>
    <w:basedOn w:val="4"/>
    <w:next w:val="15"/>
    <w:qFormat/>
    <w:uiPriority w:val="0"/>
    <w:pPr>
      <w:tabs>
        <w:tab w:val="left" w:pos="1280"/>
        <w:tab w:val="right" w:leader="dot" w:pos="8777"/>
      </w:tabs>
      <w:spacing w:before="312" w:beforeLines="100" w:line="240" w:lineRule="auto"/>
      <w:ind w:left="851" w:hanging="851" w:firstLineChars="0"/>
      <w:outlineLvl w:val="9"/>
    </w:pPr>
    <w:rPr>
      <w:rFonts w:ascii="黑体" w:hAnsi="宋体" w:eastAsia="黑体" w:cs="Times New Roman"/>
      <w:sz w:val="30"/>
      <w:szCs w:val="20"/>
      <w:lang w:val="en-US" w:eastAsia="zh-CN"/>
    </w:rPr>
  </w:style>
  <w:style w:type="paragraph" w:customStyle="1" w:styleId="194">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95">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196">
    <w:name w:val=" Char2 Char Char Char Char Char Char"/>
    <w:basedOn w:val="1"/>
    <w:qFormat/>
    <w:uiPriority w:val="0"/>
    <w:rPr>
      <w:rFonts w:ascii="仿宋_GB2312"/>
      <w:b/>
      <w:sz w:val="30"/>
    </w:rPr>
  </w:style>
  <w:style w:type="paragraph" w:customStyle="1" w:styleId="197">
    <w:name w:val="1.正文"/>
    <w:basedOn w:val="1"/>
    <w:qFormat/>
    <w:uiPriority w:val="0"/>
    <w:pPr>
      <w:spacing w:line="360" w:lineRule="auto"/>
      <w:ind w:left="540" w:leftChars="225" w:firstLine="540" w:firstLineChars="225"/>
    </w:pPr>
  </w:style>
  <w:style w:type="paragraph" w:customStyle="1" w:styleId="19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9">
    <w:name w:val="正文 + 三号"/>
    <w:basedOn w:val="1"/>
    <w:qFormat/>
    <w:uiPriority w:val="0"/>
    <w:rPr>
      <w:sz w:val="21"/>
    </w:rPr>
  </w:style>
  <w:style w:type="paragraph" w:customStyle="1" w:styleId="200">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201">
    <w:name w:val=" Char1 Char Char Char"/>
    <w:basedOn w:val="1"/>
    <w:qFormat/>
    <w:uiPriority w:val="0"/>
    <w:rPr>
      <w:rFonts w:ascii="Tahoma" w:hAnsi="Tahoma"/>
    </w:rPr>
  </w:style>
  <w:style w:type="paragraph" w:customStyle="1" w:styleId="202">
    <w:name w:val="MSG_EN_FONT_STYLE_NAME_TEMPLATE_ROLE_NUMBER MSG_EN_FONT_STYLE_NAME_BY_ROLE_TEXT 2"/>
    <w:basedOn w:val="1"/>
    <w:link w:val="266"/>
    <w:qFormat/>
    <w:uiPriority w:val="99"/>
    <w:pPr>
      <w:shd w:val="clear" w:color="auto" w:fill="FFFFFF"/>
      <w:spacing w:before="280" w:line="612" w:lineRule="exact"/>
      <w:jc w:val="left"/>
    </w:pPr>
    <w:rPr>
      <w:rFonts w:ascii="PMingLiU" w:hAnsi="等线" w:eastAsia="PMingLiU" w:cs="PMingLiU"/>
      <w:sz w:val="32"/>
      <w:szCs w:val="32"/>
    </w:rPr>
  </w:style>
  <w:style w:type="paragraph" w:customStyle="1" w:styleId="203">
    <w:name w:val="List Paragraph"/>
    <w:basedOn w:val="1"/>
    <w:qFormat/>
    <w:uiPriority w:val="34"/>
    <w:pPr>
      <w:ind w:firstLine="420" w:firstLineChars="200"/>
    </w:pPr>
  </w:style>
  <w:style w:type="character" w:customStyle="1" w:styleId="204">
    <w:name w:val="标题 1 字符"/>
    <w:link w:val="2"/>
    <w:qFormat/>
    <w:uiPriority w:val="9"/>
    <w:rPr>
      <w:b/>
      <w:bCs/>
      <w:kern w:val="44"/>
      <w:sz w:val="24"/>
      <w:szCs w:val="44"/>
    </w:rPr>
  </w:style>
  <w:style w:type="character" w:customStyle="1" w:styleId="205">
    <w:name w:val="标题 3 字符1"/>
    <w:link w:val="4"/>
    <w:qFormat/>
    <w:uiPriority w:val="0"/>
    <w:rPr>
      <w:rFonts w:ascii="仿宋" w:hAnsi="仿宋" w:eastAsia="仿宋" w:cs="仿宋"/>
      <w:b/>
      <w:color w:val="C00000"/>
      <w:sz w:val="24"/>
    </w:rPr>
  </w:style>
  <w:style w:type="character" w:customStyle="1" w:styleId="206">
    <w:name w:val="标题 2 字符1"/>
    <w:link w:val="3"/>
    <w:qFormat/>
    <w:uiPriority w:val="0"/>
    <w:rPr>
      <w:rFonts w:ascii="仿宋" w:hAnsi="仿宋" w:eastAsia="仿宋" w:cs="仿宋"/>
      <w:bCs/>
      <w:sz w:val="36"/>
      <w:szCs w:val="30"/>
    </w:rPr>
  </w:style>
  <w:style w:type="character" w:customStyle="1" w:styleId="207">
    <w:name w:val="标题 4 字符"/>
    <w:basedOn w:val="57"/>
    <w:link w:val="5"/>
    <w:qFormat/>
    <w:uiPriority w:val="0"/>
    <w:rPr>
      <w:rFonts w:ascii="Times New Roman" w:hAnsi="Times New Roman" w:eastAsia="Kaiti SC" w:cs="Times New Roman"/>
      <w:sz w:val="24"/>
      <w:szCs w:val="20"/>
    </w:rPr>
  </w:style>
  <w:style w:type="character" w:customStyle="1" w:styleId="208">
    <w:name w:val="标题 5 字符"/>
    <w:basedOn w:val="57"/>
    <w:link w:val="6"/>
    <w:qFormat/>
    <w:uiPriority w:val="0"/>
    <w:rPr>
      <w:rFonts w:ascii="Times New Roman" w:hAnsi="Times New Roman" w:eastAsia="宋体" w:cs="Times New Roman"/>
      <w:b/>
      <w:sz w:val="28"/>
      <w:szCs w:val="20"/>
    </w:rPr>
  </w:style>
  <w:style w:type="character" w:customStyle="1" w:styleId="209">
    <w:name w:val="标题 6 字符"/>
    <w:basedOn w:val="57"/>
    <w:link w:val="7"/>
    <w:qFormat/>
    <w:uiPriority w:val="0"/>
    <w:rPr>
      <w:rFonts w:ascii="Arial" w:hAnsi="Arial" w:eastAsia="黑体" w:cs="Times New Roman"/>
      <w:b/>
      <w:sz w:val="24"/>
      <w:szCs w:val="20"/>
    </w:rPr>
  </w:style>
  <w:style w:type="character" w:customStyle="1" w:styleId="210">
    <w:name w:val="标题 7 字符"/>
    <w:basedOn w:val="57"/>
    <w:link w:val="8"/>
    <w:qFormat/>
    <w:uiPriority w:val="0"/>
    <w:rPr>
      <w:rFonts w:ascii="Arial" w:hAnsi="Arial" w:eastAsia="黑体" w:cs="Times New Roman"/>
      <w:b/>
      <w:sz w:val="24"/>
      <w:szCs w:val="20"/>
    </w:rPr>
  </w:style>
  <w:style w:type="character" w:customStyle="1" w:styleId="211">
    <w:name w:val="标题 8 字符"/>
    <w:basedOn w:val="57"/>
    <w:link w:val="9"/>
    <w:qFormat/>
    <w:uiPriority w:val="0"/>
    <w:rPr>
      <w:rFonts w:ascii="Arial" w:hAnsi="Arial" w:eastAsia="黑体" w:cs="Times New Roman"/>
      <w:b/>
      <w:sz w:val="24"/>
      <w:szCs w:val="20"/>
    </w:rPr>
  </w:style>
  <w:style w:type="character" w:customStyle="1" w:styleId="212">
    <w:name w:val="标题 9 字符"/>
    <w:basedOn w:val="57"/>
    <w:link w:val="10"/>
    <w:qFormat/>
    <w:uiPriority w:val="0"/>
    <w:rPr>
      <w:rFonts w:ascii="Arial" w:hAnsi="Arial" w:eastAsia="黑体" w:cs="Times New Roman"/>
      <w:b/>
      <w:sz w:val="24"/>
      <w:szCs w:val="20"/>
    </w:rPr>
  </w:style>
  <w:style w:type="character" w:customStyle="1" w:styleId="213">
    <w:name w:val="标题 2 字符"/>
    <w:basedOn w:val="57"/>
    <w:qFormat/>
    <w:uiPriority w:val="0"/>
    <w:rPr>
      <w:rFonts w:ascii="等线 Light" w:hAnsi="等线 Light" w:eastAsia="等线 Light" w:cs="黑体"/>
      <w:b/>
      <w:bCs/>
      <w:kern w:val="0"/>
      <w:sz w:val="30"/>
      <w:szCs w:val="32"/>
    </w:rPr>
  </w:style>
  <w:style w:type="character" w:customStyle="1" w:styleId="214">
    <w:name w:val="标题 3 字符"/>
    <w:basedOn w:val="57"/>
    <w:qFormat/>
    <w:uiPriority w:val="0"/>
    <w:rPr>
      <w:rFonts w:ascii="Calibri" w:hAnsi="Calibri" w:eastAsia="宋体" w:cs="Times New Roman"/>
      <w:b/>
      <w:sz w:val="24"/>
    </w:rPr>
  </w:style>
  <w:style w:type="character" w:customStyle="1" w:styleId="215">
    <w:name w:val="标题 字符"/>
    <w:basedOn w:val="57"/>
    <w:link w:val="56"/>
    <w:qFormat/>
    <w:uiPriority w:val="10"/>
    <w:rPr>
      <w:rFonts w:ascii="等线 Light" w:hAnsi="等线 Light" w:eastAsia="Heiti SC Medium" w:cs="黑体"/>
      <w:b/>
      <w:bCs/>
      <w:color w:val="000000"/>
      <w:sz w:val="32"/>
      <w:szCs w:val="32"/>
    </w:rPr>
  </w:style>
  <w:style w:type="character" w:customStyle="1" w:styleId="216">
    <w:name w:val="正文文本 字符"/>
    <w:basedOn w:val="57"/>
    <w:link w:val="24"/>
    <w:qFormat/>
    <w:uiPriority w:val="1"/>
    <w:rPr>
      <w:rFonts w:ascii="仿宋" w:hAnsi="仿宋" w:eastAsia="Songti SC" w:cs="仿宋"/>
      <w:kern w:val="0"/>
      <w:sz w:val="24"/>
      <w:szCs w:val="20"/>
      <w:lang w:val="zh-CN" w:bidi="zh-CN"/>
    </w:rPr>
  </w:style>
  <w:style w:type="character" w:customStyle="1" w:styleId="217">
    <w:name w:val="标题 1 字符1"/>
    <w:qFormat/>
    <w:uiPriority w:val="0"/>
    <w:rPr>
      <w:rFonts w:eastAsia="Heiti SC Medium"/>
      <w:b/>
      <w:kern w:val="44"/>
      <w:sz w:val="32"/>
    </w:rPr>
  </w:style>
  <w:style w:type="character" w:customStyle="1" w:styleId="218">
    <w:name w:val="正文文本缩进 字符"/>
    <w:qFormat/>
    <w:uiPriority w:val="0"/>
    <w:rPr>
      <w:kern w:val="2"/>
      <w:sz w:val="44"/>
    </w:rPr>
  </w:style>
  <w:style w:type="character" w:customStyle="1" w:styleId="219">
    <w:name w:val="小 Char"/>
    <w:qFormat/>
    <w:uiPriority w:val="0"/>
    <w:rPr>
      <w:rFonts w:ascii="宋体" w:hAnsi="Courier New" w:eastAsia="宋体"/>
      <w:kern w:val="2"/>
      <w:sz w:val="21"/>
      <w:lang w:val="en-US" w:eastAsia="zh-CN" w:bidi="ar-SA"/>
    </w:rPr>
  </w:style>
  <w:style w:type="character" w:customStyle="1" w:styleId="220">
    <w:name w:val="content-white1"/>
    <w:qFormat/>
    <w:uiPriority w:val="0"/>
    <w:rPr>
      <w:color w:val="auto"/>
      <w:sz w:val="18"/>
      <w:u w:val="none"/>
    </w:rPr>
  </w:style>
  <w:style w:type="character" w:customStyle="1" w:styleId="221">
    <w:name w:val="正文文本缩进 2 字符"/>
    <w:link w:val="35"/>
    <w:qFormat/>
    <w:uiPriority w:val="0"/>
    <w:rPr>
      <w:sz w:val="28"/>
    </w:rPr>
  </w:style>
  <w:style w:type="character" w:customStyle="1" w:styleId="222">
    <w:name w:val=" Char Char6"/>
    <w:uiPriority w:val="0"/>
    <w:rPr>
      <w:rFonts w:ascii="仿宋_GB2312" w:eastAsia="仿宋_GB2312"/>
      <w:kern w:val="2"/>
      <w:sz w:val="32"/>
    </w:rPr>
  </w:style>
  <w:style w:type="character" w:customStyle="1" w:styleId="223">
    <w:name w:val="font1"/>
    <w:qFormat/>
    <w:uiPriority w:val="0"/>
    <w:rPr>
      <w:color w:val="000000"/>
      <w:sz w:val="18"/>
    </w:rPr>
  </w:style>
  <w:style w:type="character" w:customStyle="1" w:styleId="224">
    <w:name w:val="标书正文:  0.74 厘米 Char1"/>
    <w:uiPriority w:val="0"/>
    <w:rPr>
      <w:rFonts w:eastAsia="宋体"/>
      <w:kern w:val="2"/>
      <w:sz w:val="24"/>
      <w:lang w:val="en-US" w:eastAsia="zh-CN"/>
    </w:rPr>
  </w:style>
  <w:style w:type="character" w:customStyle="1" w:styleId="225">
    <w:name w:val="Table Heading Char Char"/>
    <w:uiPriority w:val="0"/>
    <w:rPr>
      <w:rFonts w:ascii="Arial" w:hAnsi="Arial" w:eastAsia="黑体"/>
      <w:kern w:val="2"/>
      <w:sz w:val="18"/>
      <w:lang w:val="en-US" w:eastAsia="zh-CN"/>
    </w:rPr>
  </w:style>
  <w:style w:type="character" w:customStyle="1" w:styleId="226">
    <w:name w:val=" Char Char4"/>
    <w:qFormat/>
    <w:uiPriority w:val="0"/>
    <w:rPr>
      <w:rFonts w:eastAsia="宋体"/>
      <w:b/>
      <w:kern w:val="2"/>
      <w:sz w:val="21"/>
      <w:lang w:val="en-US" w:eastAsia="zh-CN"/>
    </w:rPr>
  </w:style>
  <w:style w:type="character" w:customStyle="1" w:styleId="227">
    <w:name w:val="批注主题 字符"/>
    <w:basedOn w:val="228"/>
    <w:link w:val="12"/>
    <w:qFormat/>
    <w:uiPriority w:val="0"/>
    <w:rPr>
      <w:sz w:val="24"/>
    </w:rPr>
  </w:style>
  <w:style w:type="character" w:customStyle="1" w:styleId="228">
    <w:name w:val="批注文字 字符"/>
    <w:qFormat/>
    <w:uiPriority w:val="0"/>
    <w:rPr>
      <w:sz w:val="24"/>
    </w:rPr>
  </w:style>
  <w:style w:type="character" w:customStyle="1" w:styleId="229">
    <w:name w:val="批注文字 字符1"/>
    <w:basedOn w:val="57"/>
    <w:link w:val="13"/>
    <w:semiHidden/>
    <w:qFormat/>
    <w:uiPriority w:val="99"/>
    <w:rPr>
      <w:rFonts w:ascii="Times New Roman" w:hAnsi="Times New Roman" w:eastAsia="宋体" w:cs="Times New Roman"/>
      <w:sz w:val="28"/>
      <w:szCs w:val="20"/>
    </w:rPr>
  </w:style>
  <w:style w:type="character" w:customStyle="1" w:styleId="230">
    <w:name w:val="Table Text Char1 Char"/>
    <w:qFormat/>
    <w:uiPriority w:val="0"/>
    <w:rPr>
      <w:rFonts w:ascii="Arial" w:hAnsi="Arial"/>
      <w:kern w:val="2"/>
      <w:sz w:val="18"/>
      <w:lang w:val="en-US" w:eastAsia="zh-CN" w:bidi="ar-SA"/>
    </w:rPr>
  </w:style>
  <w:style w:type="character" w:customStyle="1" w:styleId="231">
    <w:name w:val="top-det1"/>
    <w:uiPriority w:val="0"/>
    <w:rPr>
      <w:b/>
      <w:color w:val="000000"/>
    </w:rPr>
  </w:style>
  <w:style w:type="character" w:customStyle="1" w:styleId="232">
    <w:name w:val="H2 Char"/>
    <w:uiPriority w:val="0"/>
    <w:rPr>
      <w:rFonts w:ascii="Arial" w:hAnsi="Arial" w:eastAsia="宋体"/>
      <w:kern w:val="2"/>
      <w:sz w:val="28"/>
      <w:lang w:val="en-US" w:eastAsia="zh-CN"/>
    </w:rPr>
  </w:style>
  <w:style w:type="character" w:customStyle="1" w:styleId="233">
    <w:name w:val=" Char Char11"/>
    <w:uiPriority w:val="0"/>
    <w:rPr>
      <w:rFonts w:ascii="宋体"/>
      <w:kern w:val="2"/>
      <w:sz w:val="28"/>
    </w:rPr>
  </w:style>
  <w:style w:type="character" w:customStyle="1" w:styleId="234">
    <w:name w:val=" Char Char2"/>
    <w:uiPriority w:val="0"/>
    <w:rPr>
      <w:rFonts w:eastAsia="宋体"/>
      <w:kern w:val="2"/>
      <w:sz w:val="18"/>
      <w:lang w:val="en-US" w:eastAsia="zh-CN"/>
    </w:rPr>
  </w:style>
  <w:style w:type="character" w:customStyle="1" w:styleId="235">
    <w:name w:val="crowed11"/>
    <w:uiPriority w:val="0"/>
    <w:rPr>
      <w:rFonts w:hint="default"/>
      <w:sz w:val="24"/>
    </w:rPr>
  </w:style>
  <w:style w:type="character" w:customStyle="1" w:styleId="236">
    <w:name w:val="日期 字符"/>
    <w:link w:val="34"/>
    <w:uiPriority w:val="0"/>
    <w:rPr>
      <w:sz w:val="28"/>
    </w:rPr>
  </w:style>
  <w:style w:type="character" w:customStyle="1" w:styleId="237">
    <w:name w:val=" Char Char7"/>
    <w:uiPriority w:val="0"/>
    <w:rPr>
      <w:rFonts w:ascii="宋体" w:hAnsi="宋体" w:eastAsia="宋体"/>
      <w:kern w:val="2"/>
      <w:sz w:val="28"/>
    </w:rPr>
  </w:style>
  <w:style w:type="character" w:customStyle="1" w:styleId="238">
    <w:name w:val="文字 Char"/>
    <w:link w:val="67"/>
    <w:uiPriority w:val="0"/>
    <w:rPr>
      <w:rFonts w:ascii="宋体"/>
      <w:sz w:val="28"/>
    </w:rPr>
  </w:style>
  <w:style w:type="character" w:customStyle="1" w:styleId="239">
    <w:name w:val="正文 + 三号 Char"/>
    <w:uiPriority w:val="0"/>
    <w:rPr>
      <w:rFonts w:eastAsia="宋体"/>
      <w:kern w:val="2"/>
      <w:sz w:val="21"/>
      <w:lang w:val="en-US" w:eastAsia="zh-CN"/>
    </w:rPr>
  </w:style>
  <w:style w:type="character" w:customStyle="1" w:styleId="240">
    <w:name w:val="正文文本首行缩进 2 字符"/>
    <w:basedOn w:val="218"/>
    <w:link w:val="38"/>
    <w:uiPriority w:val="0"/>
    <w:rPr>
      <w:kern w:val="2"/>
      <w:sz w:val="44"/>
    </w:rPr>
  </w:style>
  <w:style w:type="character" w:customStyle="1" w:styleId="241">
    <w:name w:val="正文文本缩进 字符1"/>
    <w:basedOn w:val="57"/>
    <w:link w:val="25"/>
    <w:semiHidden/>
    <w:uiPriority w:val="99"/>
    <w:rPr>
      <w:rFonts w:ascii="Times New Roman" w:hAnsi="Times New Roman" w:eastAsia="宋体" w:cs="Times New Roman"/>
      <w:sz w:val="28"/>
      <w:szCs w:val="20"/>
    </w:rPr>
  </w:style>
  <w:style w:type="character" w:customStyle="1" w:styleId="242">
    <w:name w:val=" Char Char3"/>
    <w:uiPriority w:val="0"/>
    <w:rPr>
      <w:rFonts w:eastAsia="宋体"/>
      <w:kern w:val="2"/>
      <w:sz w:val="18"/>
      <w:lang w:val="en-US" w:eastAsia="zh-CN"/>
    </w:rPr>
  </w:style>
  <w:style w:type="character" w:customStyle="1" w:styleId="243">
    <w:name w:val=" Char Char5"/>
    <w:uiPriority w:val="0"/>
    <w:rPr>
      <w:rFonts w:ascii="Arial" w:hAnsi="Arial" w:eastAsia="宋体"/>
      <w:b/>
      <w:smallCaps/>
      <w:kern w:val="28"/>
      <w:sz w:val="36"/>
      <w:lang w:val="en-US" w:eastAsia="en-US"/>
    </w:rPr>
  </w:style>
  <w:style w:type="character" w:customStyle="1" w:styleId="244">
    <w:name w:val="未命名11"/>
    <w:uiPriority w:val="0"/>
    <w:rPr>
      <w:color w:val="77FFFF"/>
      <w:sz w:val="24"/>
    </w:rPr>
  </w:style>
  <w:style w:type="character" w:customStyle="1" w:styleId="245">
    <w:name w:val="脚注文本 字符"/>
    <w:link w:val="43"/>
    <w:qFormat/>
    <w:uiPriority w:val="0"/>
    <w:rPr>
      <w:sz w:val="18"/>
    </w:rPr>
  </w:style>
  <w:style w:type="character" w:customStyle="1" w:styleId="246">
    <w:name w:val=" Char Char"/>
    <w:qFormat/>
    <w:uiPriority w:val="0"/>
    <w:rPr>
      <w:rFonts w:ascii="宋体" w:hAnsi="宋体" w:eastAsia="宋体"/>
      <w:kern w:val="2"/>
      <w:sz w:val="24"/>
      <w:lang w:val="en-US" w:eastAsia="zh-CN" w:bidi="ar-SA"/>
    </w:rPr>
  </w:style>
  <w:style w:type="character" w:customStyle="1" w:styleId="247">
    <w:name w:val="Table Text Char"/>
    <w:link w:val="68"/>
    <w:qFormat/>
    <w:uiPriority w:val="0"/>
    <w:rPr>
      <w:rFonts w:ascii="Arial" w:hAnsi="Arial"/>
      <w:sz w:val="18"/>
    </w:rPr>
  </w:style>
  <w:style w:type="character" w:customStyle="1" w:styleId="248">
    <w:name w:val="样式 宋体"/>
    <w:qFormat/>
    <w:uiPriority w:val="0"/>
    <w:rPr>
      <w:rFonts w:ascii="宋体" w:hAnsi="宋体" w:eastAsia="宋体"/>
      <w:sz w:val="28"/>
    </w:rPr>
  </w:style>
  <w:style w:type="character" w:customStyle="1" w:styleId="249">
    <w:name w:val="Table Text Char Char Char Char"/>
    <w:link w:val="69"/>
    <w:qFormat/>
    <w:uiPriority w:val="0"/>
    <w:rPr>
      <w:rFonts w:ascii="Arial" w:hAnsi="Arial"/>
      <w:sz w:val="18"/>
    </w:rPr>
  </w:style>
  <w:style w:type="character" w:customStyle="1" w:styleId="250">
    <w:name w:val="v151"/>
    <w:qFormat/>
    <w:uiPriority w:val="0"/>
    <w:rPr>
      <w:sz w:val="18"/>
    </w:rPr>
  </w:style>
  <w:style w:type="character" w:customStyle="1" w:styleId="251">
    <w:name w:val="title_emph1"/>
    <w:qFormat/>
    <w:uiPriority w:val="0"/>
    <w:rPr>
      <w:rFonts w:hint="default" w:ascii="Arial" w:hAnsi="Arial"/>
      <w:b/>
      <w:sz w:val="20"/>
    </w:rPr>
  </w:style>
  <w:style w:type="character" w:customStyle="1" w:styleId="252">
    <w:name w:val="页眉 字符"/>
    <w:basedOn w:val="57"/>
    <w:link w:val="39"/>
    <w:qFormat/>
    <w:uiPriority w:val="0"/>
    <w:rPr>
      <w:rFonts w:ascii="Times New Roman" w:hAnsi="Times New Roman" w:eastAsia="宋体" w:cs="Times New Roman"/>
      <w:sz w:val="18"/>
      <w:szCs w:val="20"/>
    </w:rPr>
  </w:style>
  <w:style w:type="character" w:customStyle="1" w:styleId="253">
    <w:name w:val="批注主题 字符1"/>
    <w:basedOn w:val="229"/>
    <w:semiHidden/>
    <w:qFormat/>
    <w:uiPriority w:val="99"/>
    <w:rPr>
      <w:rFonts w:ascii="Times New Roman" w:hAnsi="Times New Roman" w:eastAsia="宋体" w:cs="Times New Roman"/>
      <w:b/>
      <w:bCs/>
      <w:sz w:val="28"/>
      <w:szCs w:val="20"/>
    </w:rPr>
  </w:style>
  <w:style w:type="character" w:customStyle="1" w:styleId="254">
    <w:name w:val="批注框文本 字符"/>
    <w:basedOn w:val="57"/>
    <w:link w:val="36"/>
    <w:qFormat/>
    <w:uiPriority w:val="0"/>
    <w:rPr>
      <w:rFonts w:ascii="Times New Roman" w:hAnsi="Times New Roman" w:eastAsia="宋体" w:cs="Times New Roman"/>
      <w:sz w:val="18"/>
      <w:szCs w:val="20"/>
    </w:rPr>
  </w:style>
  <w:style w:type="character" w:customStyle="1" w:styleId="255">
    <w:name w:val="日期 字符1"/>
    <w:basedOn w:val="57"/>
    <w:semiHidden/>
    <w:qFormat/>
    <w:uiPriority w:val="99"/>
    <w:rPr>
      <w:rFonts w:ascii="Times New Roman" w:hAnsi="Times New Roman" w:eastAsia="宋体" w:cs="Times New Roman"/>
      <w:sz w:val="28"/>
      <w:szCs w:val="20"/>
    </w:rPr>
  </w:style>
  <w:style w:type="character" w:customStyle="1" w:styleId="256">
    <w:name w:val="纯文本 字符"/>
    <w:basedOn w:val="57"/>
    <w:link w:val="32"/>
    <w:qFormat/>
    <w:uiPriority w:val="0"/>
    <w:rPr>
      <w:rFonts w:ascii="宋体" w:hAnsi="Courier New" w:eastAsia="宋体" w:cs="Times New Roman"/>
      <w:szCs w:val="20"/>
    </w:rPr>
  </w:style>
  <w:style w:type="character" w:customStyle="1" w:styleId="257">
    <w:name w:val="正文文本 2 字符"/>
    <w:basedOn w:val="57"/>
    <w:link w:val="50"/>
    <w:qFormat/>
    <w:uiPriority w:val="0"/>
    <w:rPr>
      <w:rFonts w:ascii="Times New Roman" w:hAnsi="Times New Roman" w:eastAsia="宋体" w:cs="Times New Roman"/>
      <w:sz w:val="24"/>
      <w:szCs w:val="20"/>
    </w:rPr>
  </w:style>
  <w:style w:type="character" w:customStyle="1" w:styleId="258">
    <w:name w:val="页脚 字符"/>
    <w:basedOn w:val="57"/>
    <w:link w:val="37"/>
    <w:qFormat/>
    <w:uiPriority w:val="0"/>
    <w:rPr>
      <w:rFonts w:ascii="Times New Roman" w:hAnsi="Times New Roman" w:eastAsia="宋体" w:cs="Times New Roman"/>
      <w:sz w:val="18"/>
      <w:szCs w:val="20"/>
    </w:rPr>
  </w:style>
  <w:style w:type="character" w:customStyle="1" w:styleId="259">
    <w:name w:val="正文文本缩进 2 字符1"/>
    <w:basedOn w:val="57"/>
    <w:semiHidden/>
    <w:qFormat/>
    <w:uiPriority w:val="99"/>
    <w:rPr>
      <w:rFonts w:ascii="Times New Roman" w:hAnsi="Times New Roman" w:eastAsia="宋体" w:cs="Times New Roman"/>
      <w:sz w:val="28"/>
      <w:szCs w:val="20"/>
    </w:rPr>
  </w:style>
  <w:style w:type="character" w:customStyle="1" w:styleId="260">
    <w:name w:val="正文文本 3 字符"/>
    <w:basedOn w:val="57"/>
    <w:link w:val="22"/>
    <w:qFormat/>
    <w:uiPriority w:val="0"/>
    <w:rPr>
      <w:rFonts w:ascii="Times New Roman" w:hAnsi="Times New Roman" w:eastAsia="宋体" w:cs="Times New Roman"/>
      <w:sz w:val="16"/>
      <w:szCs w:val="20"/>
    </w:rPr>
  </w:style>
  <w:style w:type="character" w:customStyle="1" w:styleId="261">
    <w:name w:val="文档结构图 字符"/>
    <w:basedOn w:val="57"/>
    <w:link w:val="20"/>
    <w:qFormat/>
    <w:uiPriority w:val="0"/>
    <w:rPr>
      <w:rFonts w:ascii="Times New Roman" w:hAnsi="Times New Roman" w:eastAsia="宋体" w:cs="Times New Roman"/>
      <w:sz w:val="28"/>
      <w:szCs w:val="20"/>
      <w:shd w:val="clear" w:color="auto" w:fill="000080"/>
    </w:rPr>
  </w:style>
  <w:style w:type="character" w:customStyle="1" w:styleId="262">
    <w:name w:val="正文文本首行缩进 2 字符1"/>
    <w:basedOn w:val="241"/>
    <w:semiHidden/>
    <w:qFormat/>
    <w:uiPriority w:val="99"/>
    <w:rPr>
      <w:rFonts w:ascii="Times New Roman" w:hAnsi="Times New Roman" w:eastAsia="宋体" w:cs="Times New Roman"/>
      <w:sz w:val="28"/>
      <w:szCs w:val="20"/>
    </w:rPr>
  </w:style>
  <w:style w:type="character" w:customStyle="1" w:styleId="263">
    <w:name w:val="正文文本缩进 3 字符"/>
    <w:basedOn w:val="57"/>
    <w:link w:val="46"/>
    <w:qFormat/>
    <w:uiPriority w:val="0"/>
    <w:rPr>
      <w:rFonts w:ascii="黑体" w:hAnsi="Times New Roman" w:eastAsia="黑体" w:cs="Times New Roman"/>
      <w:sz w:val="28"/>
      <w:szCs w:val="20"/>
    </w:rPr>
  </w:style>
  <w:style w:type="character" w:customStyle="1" w:styleId="264">
    <w:name w:val="脚注文本 字符1"/>
    <w:basedOn w:val="57"/>
    <w:semiHidden/>
    <w:qFormat/>
    <w:uiPriority w:val="99"/>
    <w:rPr>
      <w:rFonts w:ascii="Times New Roman" w:hAnsi="Times New Roman" w:eastAsia="宋体" w:cs="Times New Roman"/>
      <w:sz w:val="18"/>
      <w:szCs w:val="18"/>
    </w:rPr>
  </w:style>
  <w:style w:type="character" w:customStyle="1" w:styleId="265">
    <w:name w:val="正文文本首行缩进 字符"/>
    <w:basedOn w:val="216"/>
    <w:link w:val="15"/>
    <w:qFormat/>
    <w:uiPriority w:val="0"/>
    <w:rPr>
      <w:rFonts w:ascii="宋体" w:hAnsi="宋体" w:eastAsia="宋体" w:cs="Times New Roman"/>
      <w:kern w:val="0"/>
      <w:sz w:val="24"/>
      <w:szCs w:val="20"/>
      <w:lang w:val="zh-CN" w:bidi="zh-CN"/>
    </w:rPr>
  </w:style>
  <w:style w:type="character" w:customStyle="1" w:styleId="266">
    <w:name w:val="MSG_EN_FONT_STYLE_NAME_TEMPLATE_ROLE_NUMBER MSG_EN_FONT_STYLE_NAME_BY_ROLE_TEXT 2_"/>
    <w:basedOn w:val="57"/>
    <w:link w:val="202"/>
    <w:qFormat/>
    <w:locked/>
    <w:uiPriority w:val="99"/>
    <w:rPr>
      <w:rFonts w:ascii="PMingLiU" w:eastAsia="PMingLiU" w:cs="PMingLiU"/>
      <w:sz w:val="32"/>
      <w:szCs w:val="3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2527</Words>
  <Characters>14409</Characters>
  <Lines>120</Lines>
  <Paragraphs>33</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2019-03-24T13:44:00Z</dcterms:created>
  <dc:creator>LiuXiao</dc:creator>
  <cp:lastModifiedBy>冯未炜</cp:lastModifiedBy>
  <cp:lastPrinted>2019-03-26T07:18:00Z</cp:lastPrinted>
  <dcterms:modified xsi:type="dcterms:W3CDTF">2024-11-27T03:58:16Z</dcterms:modified>
  <dc:title>竞争性磋商文件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