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40" w:lineRule="exact"/>
        <w:jc w:val="left"/>
        <w:rPr>
          <w:rFonts w:hint="default" w:ascii="Times New Roman" w:hAnsi="Times New Roman" w:eastAsia="黑体" w:cs="黑体"/>
          <w:color w:val="auto"/>
          <w:kern w:val="0"/>
          <w:sz w:val="32"/>
          <w:szCs w:val="32"/>
          <w:highlight w:val="none"/>
          <w:lang w:val="en-US" w:eastAsia="zh-CN"/>
        </w:rPr>
      </w:pPr>
      <w:r>
        <w:rPr>
          <w:rFonts w:hint="eastAsia" w:ascii="Times New Roman" w:hAnsi="Times New Roman" w:eastAsia="黑体" w:cs="黑体"/>
          <w:color w:val="auto"/>
          <w:kern w:val="0"/>
          <w:sz w:val="32"/>
          <w:szCs w:val="32"/>
          <w:highlight w:val="none"/>
          <w:lang w:val="en-US" w:eastAsia="zh-CN"/>
        </w:rPr>
        <w:t>附件7</w:t>
      </w:r>
      <w:bookmarkStart w:id="0" w:name="_GoBack"/>
      <w:bookmarkEnd w:id="0"/>
    </w:p>
    <w:p>
      <w:pPr>
        <w:numPr>
          <w:ilvl w:val="0"/>
          <w:numId w:val="0"/>
        </w:numPr>
        <w:wordWrap/>
        <w:jc w:val="left"/>
        <w:rPr>
          <w:rFonts w:hint="eastAsia" w:ascii="方正仿宋_GBK" w:hAnsi="方正仿宋_GBK" w:cs="方正仿宋_GBK"/>
          <w:color w:val="auto"/>
          <w:spacing w:val="-4"/>
          <w:sz w:val="32"/>
          <w:szCs w:val="32"/>
          <w:highlight w:val="none"/>
          <w:lang w:val="en-US" w:eastAsia="zh-CN"/>
        </w:rPr>
      </w:pPr>
    </w:p>
    <w:p>
      <w:pPr>
        <w:widowControl w:val="0"/>
        <w:numPr>
          <w:ilvl w:val="0"/>
          <w:numId w:val="0"/>
        </w:numPr>
        <w:wordWrap/>
        <w:adjustRightInd/>
        <w:spacing w:line="580" w:lineRule="exact"/>
        <w:ind w:right="0"/>
        <w:jc w:val="center"/>
        <w:textAlignment w:val="auto"/>
        <w:outlineLvl w:val="9"/>
        <w:rPr>
          <w:rFonts w:hint="eastAsia" w:ascii="方正小标宋_GBK" w:hAnsi="方正小标宋_GBK" w:eastAsia="方正小标宋_GBK" w:cs="方正小标宋_GBK"/>
          <w:color w:val="auto"/>
          <w:spacing w:val="-4"/>
          <w:sz w:val="44"/>
          <w:szCs w:val="44"/>
          <w:highlight w:val="none"/>
          <w:lang w:val="en-US" w:eastAsia="zh-CN"/>
        </w:rPr>
      </w:pPr>
      <w:r>
        <w:rPr>
          <w:rFonts w:hint="eastAsia" w:ascii="方正小标宋_GBK" w:hAnsi="方正小标宋_GBK" w:eastAsia="方正小标宋_GBK" w:cs="方正小标宋_GBK"/>
          <w:color w:val="auto"/>
          <w:spacing w:val="-4"/>
          <w:sz w:val="44"/>
          <w:szCs w:val="44"/>
          <w:highlight w:val="none"/>
          <w:lang w:val="en-US" w:eastAsia="zh-CN"/>
        </w:rPr>
        <w:t>放射性药品生产企业审批具体管理措施</w:t>
      </w:r>
    </w:p>
    <w:p>
      <w:pPr>
        <w:widowControl/>
        <w:spacing w:line="540" w:lineRule="exact"/>
        <w:ind w:firstLine="640" w:firstLineChars="200"/>
        <w:jc w:val="left"/>
        <w:rPr>
          <w:rFonts w:hint="eastAsia" w:ascii="Times New Roman" w:hAnsi="Times New Roman" w:eastAsia="楷体_GB2312" w:cs="楷体_GB2312"/>
          <w:color w:val="auto"/>
          <w:kern w:val="0"/>
          <w:sz w:val="32"/>
          <w:szCs w:val="32"/>
          <w:highlight w:val="none"/>
        </w:rPr>
      </w:pPr>
    </w:p>
    <w:p>
      <w:pPr>
        <w:widowControl/>
        <w:spacing w:line="540" w:lineRule="exact"/>
        <w:ind w:firstLine="640" w:firstLineChars="200"/>
        <w:jc w:val="left"/>
        <w:rPr>
          <w:rFonts w:hint="eastAsia" w:ascii="方正黑体_GBK" w:hAnsi="方正黑体_GBK" w:eastAsia="方正黑体_GBK" w:cs="方正黑体_GBK"/>
          <w:color w:val="auto"/>
          <w:kern w:val="0"/>
          <w:sz w:val="32"/>
          <w:szCs w:val="32"/>
          <w:highlight w:val="none"/>
        </w:rPr>
      </w:pPr>
      <w:r>
        <w:rPr>
          <w:rFonts w:hint="eastAsia" w:ascii="方正黑体_GBK" w:hAnsi="方正黑体_GBK" w:eastAsia="方正黑体_GBK" w:cs="方正黑体_GBK"/>
          <w:color w:val="auto"/>
          <w:kern w:val="0"/>
          <w:sz w:val="32"/>
          <w:szCs w:val="32"/>
          <w:highlight w:val="none"/>
          <w:lang w:eastAsia="zh-CN"/>
        </w:rPr>
        <w:t>一、责任处室</w:t>
      </w:r>
    </w:p>
    <w:p>
      <w:pPr>
        <w:widowControl/>
        <w:spacing w:line="540" w:lineRule="exact"/>
        <w:ind w:firstLine="640" w:firstLineChars="200"/>
        <w:jc w:val="left"/>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color w:val="auto"/>
          <w:kern w:val="0"/>
          <w:sz w:val="32"/>
          <w:szCs w:val="32"/>
          <w:highlight w:val="none"/>
          <w:lang w:eastAsia="zh-CN"/>
        </w:rPr>
        <w:t>行政审批处、药品生产监督管理处</w:t>
      </w:r>
    </w:p>
    <w:p>
      <w:pPr>
        <w:widowControl/>
        <w:spacing w:line="540" w:lineRule="exact"/>
        <w:ind w:firstLine="640" w:firstLineChars="200"/>
        <w:jc w:val="left"/>
        <w:rPr>
          <w:rFonts w:hint="eastAsia" w:ascii="方正黑体_GBK" w:hAnsi="方正黑体_GBK" w:eastAsia="方正黑体_GBK" w:cs="方正黑体_GBK"/>
          <w:color w:val="auto"/>
          <w:kern w:val="0"/>
          <w:sz w:val="32"/>
          <w:szCs w:val="32"/>
          <w:highlight w:val="none"/>
          <w:lang w:eastAsia="zh-CN"/>
        </w:rPr>
      </w:pPr>
      <w:r>
        <w:rPr>
          <w:rFonts w:hint="eastAsia" w:ascii="方正黑体_GBK" w:hAnsi="方正黑体_GBK" w:eastAsia="方正黑体_GBK" w:cs="方正黑体_GBK"/>
          <w:color w:val="auto"/>
          <w:kern w:val="0"/>
          <w:sz w:val="32"/>
          <w:szCs w:val="32"/>
          <w:highlight w:val="none"/>
          <w:lang w:eastAsia="zh-CN"/>
        </w:rPr>
        <w:t>二、改革内容</w:t>
      </w:r>
    </w:p>
    <w:p>
      <w:pPr>
        <w:widowControl/>
        <w:spacing w:line="540" w:lineRule="exact"/>
        <w:ind w:firstLine="640" w:firstLineChars="200"/>
        <w:jc w:val="left"/>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sz w:val="32"/>
          <w:szCs w:val="32"/>
          <w:highlight w:val="none"/>
        </w:rPr>
        <w:t>根据《国务院关于深化“证照分离”改革进一步激发市场主体发展活力的</w:t>
      </w:r>
      <w:r>
        <w:rPr>
          <w:rFonts w:hint="eastAsia" w:ascii="方正仿宋_GBK" w:hAnsi="方正仿宋_GBK" w:eastAsia="方正仿宋_GBK" w:cs="方正仿宋_GBK"/>
          <w:color w:val="auto"/>
          <w:kern w:val="0"/>
          <w:sz w:val="32"/>
          <w:szCs w:val="32"/>
          <w:highlight w:val="none"/>
        </w:rPr>
        <w:t>通知》（国发〔2021〕7号）</w:t>
      </w:r>
      <w:r>
        <w:rPr>
          <w:rFonts w:hint="eastAsia" w:ascii="方正仿宋_GBK" w:hAnsi="方正仿宋_GBK" w:eastAsia="方正仿宋_GBK" w:cs="方正仿宋_GBK"/>
          <w:color w:val="auto"/>
          <w:kern w:val="0"/>
          <w:sz w:val="32"/>
          <w:szCs w:val="32"/>
          <w:highlight w:val="none"/>
          <w:lang w:val="en-US" w:eastAsia="zh-CN"/>
        </w:rPr>
        <w:t>《重庆市人民政府关于印发重庆市深化“证照分离”改革进一步激发市场主体发展活力实施方案的通知》（渝府发〔2021〕16号）</w:t>
      </w:r>
      <w:r>
        <w:rPr>
          <w:rFonts w:hint="eastAsia" w:ascii="方正仿宋_GBK" w:hAnsi="方正仿宋_GBK" w:eastAsia="方正仿宋_GBK" w:cs="方正仿宋_GBK"/>
          <w:color w:val="auto"/>
          <w:kern w:val="0"/>
          <w:sz w:val="32"/>
          <w:szCs w:val="32"/>
          <w:highlight w:val="none"/>
        </w:rPr>
        <w:t>，对“放射性药品生产企业审批”</w:t>
      </w:r>
      <w:r>
        <w:rPr>
          <w:rFonts w:hint="eastAsia" w:ascii="方正仿宋_GBK" w:hAnsi="方正仿宋_GBK" w:eastAsia="方正仿宋_GBK" w:cs="方正仿宋_GBK"/>
          <w:color w:val="auto"/>
          <w:kern w:val="0"/>
          <w:sz w:val="32"/>
          <w:szCs w:val="32"/>
          <w:highlight w:val="none"/>
          <w:lang w:eastAsia="zh-CN"/>
        </w:rPr>
        <w:t>实行</w:t>
      </w:r>
      <w:r>
        <w:rPr>
          <w:rFonts w:hint="eastAsia" w:ascii="方正仿宋_GBK" w:hAnsi="方正仿宋_GBK" w:eastAsia="方正仿宋_GBK" w:cs="方正仿宋_GBK"/>
          <w:color w:val="auto"/>
          <w:kern w:val="0"/>
          <w:sz w:val="32"/>
          <w:szCs w:val="32"/>
          <w:highlight w:val="none"/>
        </w:rPr>
        <w:t>优化审批服务，将放射性药品生产企业审批权限由国家药监局和国家国防科工局下放至省级药监部门和省级国防科技工业部门。</w:t>
      </w:r>
    </w:p>
    <w:p>
      <w:pPr>
        <w:widowControl/>
        <w:spacing w:line="540" w:lineRule="exact"/>
        <w:ind w:firstLine="640" w:firstLineChars="200"/>
        <w:jc w:val="left"/>
        <w:rPr>
          <w:rFonts w:hint="eastAsia" w:ascii="方正黑体_GBK" w:hAnsi="方正黑体_GBK" w:eastAsia="方正黑体_GBK" w:cs="方正黑体_GBK"/>
          <w:color w:val="auto"/>
          <w:kern w:val="0"/>
          <w:sz w:val="32"/>
          <w:szCs w:val="32"/>
          <w:highlight w:val="none"/>
          <w:lang w:eastAsia="zh-CN"/>
        </w:rPr>
      </w:pPr>
      <w:r>
        <w:rPr>
          <w:rFonts w:hint="eastAsia" w:ascii="方正黑体_GBK" w:hAnsi="方正黑体_GBK" w:eastAsia="方正黑体_GBK" w:cs="方正黑体_GBK"/>
          <w:color w:val="auto"/>
          <w:kern w:val="0"/>
          <w:sz w:val="32"/>
          <w:szCs w:val="32"/>
          <w:highlight w:val="none"/>
          <w:lang w:eastAsia="zh-CN"/>
        </w:rPr>
        <w:t>三、法律依据</w:t>
      </w:r>
    </w:p>
    <w:p>
      <w:pPr>
        <w:widowControl/>
        <w:spacing w:line="540" w:lineRule="exact"/>
        <w:ind w:firstLine="640" w:firstLineChars="200"/>
        <w:jc w:val="left"/>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rPr>
        <w:t>《放射性药品管理办法》</w:t>
      </w:r>
    </w:p>
    <w:p>
      <w:pPr>
        <w:widowControl/>
        <w:spacing w:line="540" w:lineRule="exact"/>
        <w:ind w:firstLine="640" w:firstLineChars="200"/>
        <w:jc w:val="left"/>
        <w:rPr>
          <w:rFonts w:hint="eastAsia" w:ascii="方正黑体_GBK" w:hAnsi="方正黑体_GBK" w:eastAsia="方正黑体_GBK" w:cs="方正黑体_GBK"/>
          <w:color w:val="auto"/>
          <w:kern w:val="0"/>
          <w:sz w:val="32"/>
          <w:szCs w:val="32"/>
          <w:highlight w:val="none"/>
          <w:lang w:eastAsia="zh-CN"/>
        </w:rPr>
      </w:pPr>
      <w:r>
        <w:rPr>
          <w:rFonts w:hint="eastAsia" w:ascii="方正黑体_GBK" w:hAnsi="方正黑体_GBK" w:eastAsia="方正黑体_GBK" w:cs="方正黑体_GBK"/>
          <w:color w:val="auto"/>
          <w:kern w:val="0"/>
          <w:sz w:val="32"/>
          <w:szCs w:val="32"/>
          <w:highlight w:val="none"/>
          <w:lang w:eastAsia="zh-CN"/>
        </w:rPr>
        <w:t>四、许可条件</w:t>
      </w:r>
    </w:p>
    <w:p>
      <w:pPr>
        <w:adjustRightInd w:val="0"/>
        <w:snapToGrid w:val="0"/>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1.必须具备《药品管理法》规定的条件，符合国家有关放射性同位素安全和防护的规定与标准，并履行环境影响评价文件的审批手续。</w:t>
      </w:r>
    </w:p>
    <w:p>
      <w:pPr>
        <w:adjustRightInd w:val="0"/>
        <w:snapToGrid w:val="0"/>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2.必须配备与生产放射性药品相适应的专业技术人员，具有安全、防护和废气、废物、废水处理等设施，并建立严格的质量管理制度。</w:t>
      </w:r>
    </w:p>
    <w:p>
      <w:pPr>
        <w:adjustRightInd w:val="0"/>
        <w:snapToGrid w:val="0"/>
        <w:spacing w:line="540"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sz w:val="32"/>
          <w:szCs w:val="32"/>
          <w:highlight w:val="none"/>
        </w:rPr>
        <w:t>3.必须建立质量检验机构，严格实行生产全过程的质量控制和检验。</w:t>
      </w:r>
    </w:p>
    <w:p>
      <w:pPr>
        <w:widowControl/>
        <w:spacing w:line="540" w:lineRule="exact"/>
        <w:ind w:firstLine="640" w:firstLineChars="200"/>
        <w:jc w:val="left"/>
        <w:rPr>
          <w:rFonts w:hint="eastAsia" w:ascii="方正黑体_GBK" w:hAnsi="方正黑体_GBK" w:eastAsia="方正黑体_GBK" w:cs="方正黑体_GBK"/>
          <w:color w:val="auto"/>
          <w:kern w:val="0"/>
          <w:sz w:val="32"/>
          <w:szCs w:val="32"/>
          <w:highlight w:val="none"/>
          <w:lang w:eastAsia="zh-CN"/>
        </w:rPr>
      </w:pPr>
      <w:r>
        <w:rPr>
          <w:rFonts w:hint="eastAsia" w:ascii="方正黑体_GBK" w:hAnsi="方正黑体_GBK" w:eastAsia="方正黑体_GBK" w:cs="方正黑体_GBK"/>
          <w:color w:val="auto"/>
          <w:kern w:val="0"/>
          <w:sz w:val="32"/>
          <w:szCs w:val="32"/>
          <w:highlight w:val="none"/>
          <w:lang w:eastAsia="zh-CN"/>
        </w:rPr>
        <w:t>五、材料要求</w:t>
      </w:r>
    </w:p>
    <w:p>
      <w:pPr>
        <w:widowControl/>
        <w:spacing w:line="540" w:lineRule="exact"/>
        <w:ind w:firstLine="640" w:firstLineChars="200"/>
        <w:jc w:val="left"/>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1.</w:t>
      </w:r>
      <w:r>
        <w:rPr>
          <w:rFonts w:hint="eastAsia" w:ascii="方正仿宋_GBK" w:hAnsi="方正仿宋_GBK" w:eastAsia="方正仿宋_GBK" w:cs="方正仿宋_GBK"/>
          <w:color w:val="auto"/>
          <w:sz w:val="32"/>
          <w:szCs w:val="32"/>
          <w:highlight w:val="none"/>
        </w:rPr>
        <w:t>《放射性药品生产许可证》核发申请表</w:t>
      </w:r>
    </w:p>
    <w:p>
      <w:pPr>
        <w:widowControl/>
        <w:spacing w:line="540" w:lineRule="exact"/>
        <w:ind w:firstLine="640" w:firstLineChars="200"/>
        <w:jc w:val="left"/>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2.</w:t>
      </w:r>
      <w:r>
        <w:rPr>
          <w:rFonts w:hint="eastAsia" w:ascii="方正仿宋_GBK" w:hAnsi="方正仿宋_GBK" w:eastAsia="方正仿宋_GBK" w:cs="方正仿宋_GBK"/>
          <w:color w:val="auto"/>
          <w:sz w:val="32"/>
          <w:szCs w:val="32"/>
          <w:highlight w:val="none"/>
        </w:rPr>
        <w:t>《辐射安全许可证》正副本复印件</w:t>
      </w:r>
    </w:p>
    <w:p>
      <w:pPr>
        <w:widowControl/>
        <w:spacing w:line="540" w:lineRule="exact"/>
        <w:ind w:firstLine="640" w:firstLineChars="200"/>
        <w:jc w:val="left"/>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3</w:t>
      </w:r>
      <w:r>
        <w:rPr>
          <w:rFonts w:hint="eastAsia" w:ascii="方正仿宋_GBK" w:hAnsi="方正仿宋_GBK" w:eastAsia="方正仿宋_GBK" w:cs="方正仿宋_GBK"/>
          <w:color w:val="auto"/>
          <w:sz w:val="32"/>
          <w:szCs w:val="32"/>
          <w:highlight w:val="none"/>
        </w:rPr>
        <w:t>.企业药品生产质量管理组织机构设置及各部门职责</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生产管理、质量管理、质量检验、辐射安全管理部门人员配备情况</w:t>
      </w:r>
    </w:p>
    <w:p>
      <w:pPr>
        <w:widowControl/>
        <w:spacing w:line="540" w:lineRule="exact"/>
        <w:ind w:firstLine="640" w:firstLineChars="200"/>
        <w:jc w:val="left"/>
        <w:rPr>
          <w:rFonts w:hint="eastAsia" w:ascii="方正仿宋_GBK" w:hAnsi="方正仿宋_GBK" w:eastAsia="方正仿宋_GBK" w:cs="方正仿宋_GBK"/>
          <w:color w:val="auto"/>
          <w:sz w:val="32"/>
          <w:szCs w:val="32"/>
          <w:highlight w:val="none"/>
          <w:lang w:eastAsia="zh-CN"/>
        </w:rPr>
      </w:pPr>
      <w:r>
        <w:rPr>
          <w:rFonts w:hint="eastAsia" w:ascii="方正仿宋_GBK" w:hAnsi="方正仿宋_GBK" w:eastAsia="方正仿宋_GBK" w:cs="方正仿宋_GBK"/>
          <w:color w:val="auto"/>
          <w:sz w:val="32"/>
          <w:szCs w:val="32"/>
          <w:highlight w:val="none"/>
          <w:lang w:val="en-US" w:eastAsia="zh-CN"/>
        </w:rPr>
        <w:t>4.</w:t>
      </w:r>
      <w:r>
        <w:rPr>
          <w:rFonts w:hint="eastAsia" w:ascii="方正仿宋_GBK" w:hAnsi="方正仿宋_GBK" w:eastAsia="方正仿宋_GBK" w:cs="方正仿宋_GBK"/>
          <w:color w:val="auto"/>
          <w:sz w:val="32"/>
          <w:szCs w:val="32"/>
          <w:highlight w:val="none"/>
        </w:rPr>
        <w:t>企业负责人、生产管理负责人、质量管理负责人、质量受权人等</w:t>
      </w:r>
      <w:r>
        <w:rPr>
          <w:rFonts w:hint="eastAsia" w:ascii="方正仿宋_GBK" w:hAnsi="方正仿宋_GBK" w:eastAsia="方正仿宋_GBK" w:cs="方正仿宋_GBK"/>
          <w:color w:val="auto"/>
          <w:sz w:val="32"/>
          <w:szCs w:val="32"/>
          <w:highlight w:val="none"/>
          <w:lang w:eastAsia="zh-CN"/>
        </w:rPr>
        <w:t>关键人员毕业院校、学历、专业、技术职称、工作经历等情况说明</w:t>
      </w:r>
    </w:p>
    <w:p>
      <w:pPr>
        <w:widowControl/>
        <w:spacing w:line="540" w:lineRule="exact"/>
        <w:ind w:firstLine="640" w:firstLineChars="200"/>
        <w:jc w:val="left"/>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5.厂区环境和厂房情况，生产车间、检验场所、储存场所布局平面图</w:t>
      </w:r>
    </w:p>
    <w:p>
      <w:pPr>
        <w:widowControl/>
        <w:spacing w:line="540" w:lineRule="exact"/>
        <w:ind w:firstLine="640" w:firstLineChars="200"/>
        <w:jc w:val="left"/>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6.</w:t>
      </w:r>
      <w:r>
        <w:rPr>
          <w:rFonts w:hint="eastAsia" w:ascii="方正仿宋_GBK" w:hAnsi="方正仿宋_GBK" w:eastAsia="方正仿宋_GBK" w:cs="方正仿宋_GBK"/>
          <w:color w:val="auto"/>
          <w:sz w:val="32"/>
          <w:szCs w:val="32"/>
          <w:highlight w:val="none"/>
        </w:rPr>
        <w:t>拟生产药品品种、剂型、生产工艺、质量标准及依据</w:t>
      </w:r>
    </w:p>
    <w:p>
      <w:pPr>
        <w:widowControl/>
        <w:spacing w:line="540" w:lineRule="exact"/>
        <w:ind w:firstLine="640" w:firstLineChars="200"/>
        <w:jc w:val="left"/>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7</w:t>
      </w:r>
      <w:r>
        <w:rPr>
          <w:rFonts w:hint="eastAsia" w:ascii="方正仿宋_GBK" w:hAnsi="方正仿宋_GBK" w:eastAsia="方正仿宋_GBK" w:cs="方正仿宋_GBK"/>
          <w:color w:val="auto"/>
          <w:sz w:val="32"/>
          <w:szCs w:val="32"/>
          <w:highlight w:val="none"/>
        </w:rPr>
        <w:t>.主要生产设施设备</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生产检验用仪器清单</w:t>
      </w:r>
    </w:p>
    <w:p>
      <w:pPr>
        <w:widowControl/>
        <w:spacing w:line="540" w:lineRule="exact"/>
        <w:ind w:firstLine="640" w:firstLineChars="200"/>
        <w:jc w:val="left"/>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8.</w:t>
      </w:r>
      <w:r>
        <w:rPr>
          <w:rFonts w:hint="eastAsia" w:ascii="方正仿宋_GBK" w:hAnsi="方正仿宋_GBK" w:eastAsia="方正仿宋_GBK" w:cs="方正仿宋_GBK"/>
          <w:color w:val="auto"/>
          <w:sz w:val="32"/>
          <w:szCs w:val="32"/>
          <w:highlight w:val="none"/>
        </w:rPr>
        <w:t>空气净化系统、工艺用水制备分配系统、主要生产设备、生产工艺验证情况</w:t>
      </w:r>
    </w:p>
    <w:p>
      <w:pPr>
        <w:widowControl/>
        <w:spacing w:line="540" w:lineRule="exact"/>
        <w:ind w:firstLine="640" w:firstLineChars="200"/>
        <w:jc w:val="left"/>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9.</w:t>
      </w:r>
      <w:r>
        <w:rPr>
          <w:rFonts w:hint="eastAsia" w:ascii="方正仿宋_GBK" w:hAnsi="方正仿宋_GBK" w:eastAsia="方正仿宋_GBK" w:cs="方正仿宋_GBK"/>
          <w:color w:val="auto"/>
          <w:sz w:val="32"/>
          <w:szCs w:val="32"/>
          <w:highlight w:val="none"/>
        </w:rPr>
        <w:t>生产和检验用仪器、仪表、衡器检定或校验情况</w:t>
      </w:r>
    </w:p>
    <w:p>
      <w:pPr>
        <w:widowControl/>
        <w:spacing w:line="540" w:lineRule="exact"/>
        <w:ind w:firstLine="640" w:firstLineChars="200"/>
        <w:jc w:val="left"/>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10.</w:t>
      </w:r>
      <w:r>
        <w:rPr>
          <w:rFonts w:hint="eastAsia" w:ascii="方正仿宋_GBK" w:hAnsi="方正仿宋_GBK" w:eastAsia="方正仿宋_GBK" w:cs="方正仿宋_GBK"/>
          <w:color w:val="auto"/>
          <w:sz w:val="32"/>
          <w:szCs w:val="32"/>
          <w:highlight w:val="none"/>
        </w:rPr>
        <w:t>质量管理体系文件目录</w:t>
      </w:r>
    </w:p>
    <w:p>
      <w:pPr>
        <w:widowControl/>
        <w:spacing w:line="540" w:lineRule="exact"/>
        <w:ind w:firstLine="640" w:firstLineChars="200"/>
        <w:jc w:val="left"/>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11.</w:t>
      </w:r>
      <w:r>
        <w:rPr>
          <w:rFonts w:hint="eastAsia" w:ascii="方正仿宋_GBK" w:hAnsi="方正仿宋_GBK" w:eastAsia="方正仿宋_GBK" w:cs="方正仿宋_GBK"/>
          <w:color w:val="auto"/>
          <w:sz w:val="32"/>
          <w:szCs w:val="32"/>
          <w:highlight w:val="none"/>
        </w:rPr>
        <w:t>申请材料全部内容真实性承诺书</w:t>
      </w:r>
    </w:p>
    <w:p>
      <w:pPr>
        <w:widowControl/>
        <w:spacing w:line="540" w:lineRule="exact"/>
        <w:ind w:firstLine="640" w:firstLineChars="200"/>
        <w:jc w:val="left"/>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12.</w:t>
      </w:r>
      <w:r>
        <w:rPr>
          <w:rFonts w:hint="eastAsia" w:ascii="方正仿宋_GBK" w:hAnsi="方正仿宋_GBK" w:eastAsia="方正仿宋_GBK" w:cs="方正仿宋_GBK"/>
          <w:color w:val="auto"/>
          <w:sz w:val="32"/>
          <w:szCs w:val="32"/>
          <w:highlight w:val="none"/>
        </w:rPr>
        <w:t>凡申请企业申报材料时，申请人不是法定代表人或负责人本人，企业应当提交《授权委托书》</w:t>
      </w:r>
    </w:p>
    <w:p>
      <w:pPr>
        <w:widowControl/>
        <w:spacing w:line="540" w:lineRule="exact"/>
        <w:ind w:firstLine="640" w:firstLineChars="200"/>
        <w:jc w:val="left"/>
        <w:rPr>
          <w:rFonts w:hint="eastAsia" w:ascii="方正黑体_GBK" w:hAnsi="方正黑体_GBK" w:eastAsia="方正黑体_GBK" w:cs="方正黑体_GBK"/>
          <w:color w:val="auto"/>
          <w:kern w:val="0"/>
          <w:sz w:val="32"/>
          <w:szCs w:val="32"/>
          <w:highlight w:val="none"/>
          <w:lang w:eastAsia="zh-CN"/>
        </w:rPr>
      </w:pPr>
      <w:r>
        <w:rPr>
          <w:rFonts w:hint="eastAsia" w:ascii="方正黑体_GBK" w:hAnsi="方正黑体_GBK" w:eastAsia="方正黑体_GBK" w:cs="方正黑体_GBK"/>
          <w:color w:val="auto"/>
          <w:kern w:val="0"/>
          <w:sz w:val="32"/>
          <w:szCs w:val="32"/>
          <w:highlight w:val="none"/>
          <w:lang w:eastAsia="zh-CN"/>
        </w:rPr>
        <w:t>六、程序环节</w:t>
      </w:r>
    </w:p>
    <w:p>
      <w:pPr>
        <w:widowControl/>
        <w:numPr>
          <w:ilvl w:val="0"/>
          <w:numId w:val="0"/>
        </w:numPr>
        <w:spacing w:line="594" w:lineRule="exact"/>
        <w:rPr>
          <w:rFonts w:hint="eastAsia" w:ascii="方正楷体_GBK" w:hAnsi="方正楷体_GBK" w:eastAsia="方正楷体_GBK" w:cs="方正楷体_GBK"/>
          <w:color w:val="auto"/>
          <w:sz w:val="32"/>
          <w:szCs w:val="32"/>
          <w:highlight w:val="none"/>
          <w:lang w:val="en-US" w:eastAsia="zh-CN"/>
        </w:rPr>
      </w:pPr>
      <w:r>
        <w:rPr>
          <w:rFonts w:hint="eastAsia" w:ascii="方正楷体_GBK" w:hAnsi="方正楷体_GBK" w:eastAsia="方正楷体_GBK" w:cs="方正楷体_GBK"/>
          <w:color w:val="auto"/>
          <w:sz w:val="32"/>
          <w:szCs w:val="32"/>
          <w:highlight w:val="none"/>
          <w:lang w:val="en-US" w:eastAsia="zh-CN"/>
        </w:rPr>
        <w:t xml:space="preserve">   （一）审批层级。</w:t>
      </w:r>
    </w:p>
    <w:p>
      <w:pPr>
        <w:widowControl/>
        <w:spacing w:line="594"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rPr>
        <w:t xml:space="preserve">1.受理机构: </w:t>
      </w:r>
      <w:r>
        <w:rPr>
          <w:rFonts w:hint="eastAsia" w:ascii="方正仿宋_GBK" w:hAnsi="方正仿宋_GBK" w:eastAsia="方正仿宋_GBK" w:cs="方正仿宋_GBK"/>
          <w:color w:val="auto"/>
          <w:kern w:val="0"/>
          <w:sz w:val="32"/>
          <w:szCs w:val="32"/>
          <w:highlight w:val="none"/>
          <w:lang w:eastAsia="zh-CN"/>
        </w:rPr>
        <w:t>重庆市药品监督管理局</w:t>
      </w:r>
    </w:p>
    <w:p>
      <w:pPr>
        <w:widowControl/>
        <w:spacing w:line="594"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rPr>
        <w:t xml:space="preserve">2.决定机构: </w:t>
      </w:r>
      <w:r>
        <w:rPr>
          <w:rFonts w:hint="eastAsia" w:ascii="方正仿宋_GBK" w:hAnsi="方正仿宋_GBK" w:eastAsia="方正仿宋_GBK" w:cs="方正仿宋_GBK"/>
          <w:color w:val="auto"/>
          <w:kern w:val="0"/>
          <w:sz w:val="32"/>
          <w:szCs w:val="32"/>
          <w:highlight w:val="none"/>
          <w:lang w:eastAsia="zh-CN"/>
        </w:rPr>
        <w:t>重庆市药品监督管理局</w:t>
      </w:r>
    </w:p>
    <w:p>
      <w:pPr>
        <w:widowControl/>
        <w:numPr>
          <w:ilvl w:val="0"/>
          <w:numId w:val="0"/>
        </w:numPr>
        <w:spacing w:line="594" w:lineRule="exact"/>
        <w:rPr>
          <w:rFonts w:hint="eastAsia" w:ascii="方正楷体_GBK" w:hAnsi="方正楷体_GBK" w:eastAsia="方正楷体_GBK" w:cs="方正楷体_GBK"/>
          <w:color w:val="auto"/>
          <w:sz w:val="32"/>
          <w:szCs w:val="32"/>
          <w:highlight w:val="none"/>
          <w:lang w:val="en-US" w:eastAsia="zh-CN"/>
        </w:rPr>
      </w:pPr>
      <w:r>
        <w:rPr>
          <w:rFonts w:hint="eastAsia" w:ascii="方正楷体_GBK" w:hAnsi="方正楷体_GBK" w:eastAsia="方正楷体_GBK" w:cs="方正楷体_GBK"/>
          <w:color w:val="auto"/>
          <w:sz w:val="32"/>
          <w:szCs w:val="32"/>
          <w:highlight w:val="none"/>
          <w:lang w:val="en-US" w:eastAsia="zh-CN"/>
        </w:rPr>
        <w:t xml:space="preserve">   （二）办理流程。</w:t>
      </w:r>
    </w:p>
    <w:p>
      <w:pPr>
        <w:widowControl/>
        <w:spacing w:line="540" w:lineRule="exact"/>
        <w:ind w:firstLine="640" w:firstLineChars="200"/>
        <w:jc w:val="left"/>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lang w:eastAsia="zh-CN"/>
        </w:rPr>
        <w:t>申请开办放射性药品生产企业的，申请资料报送重庆市药品监督管理局</w:t>
      </w:r>
      <w:r>
        <w:rPr>
          <w:rFonts w:hint="eastAsia" w:ascii="方正仿宋_GBK" w:hAnsi="方正仿宋_GBK" w:eastAsia="方正仿宋_GBK" w:cs="方正仿宋_GBK"/>
          <w:color w:val="auto"/>
          <w:kern w:val="0"/>
          <w:sz w:val="32"/>
          <w:szCs w:val="32"/>
          <w:highlight w:val="none"/>
        </w:rPr>
        <w:t>。</w:t>
      </w:r>
      <w:r>
        <w:rPr>
          <w:rFonts w:hint="eastAsia" w:ascii="方正仿宋_GBK" w:hAnsi="方正仿宋_GBK" w:eastAsia="方正仿宋_GBK" w:cs="方正仿宋_GBK"/>
          <w:color w:val="auto"/>
          <w:kern w:val="0"/>
          <w:sz w:val="32"/>
          <w:szCs w:val="32"/>
          <w:highlight w:val="none"/>
          <w:lang w:eastAsia="zh-CN"/>
        </w:rPr>
        <w:t>重庆市药品监督管理局</w:t>
      </w:r>
      <w:r>
        <w:rPr>
          <w:rFonts w:hint="eastAsia" w:ascii="方正仿宋_GBK" w:hAnsi="方正仿宋_GBK" w:eastAsia="方正仿宋_GBK" w:cs="方正仿宋_GBK"/>
          <w:color w:val="auto"/>
          <w:kern w:val="0"/>
          <w:sz w:val="32"/>
          <w:szCs w:val="32"/>
          <w:highlight w:val="none"/>
        </w:rPr>
        <w:t>按照《放射性药品管理办法》有关要求，会同</w:t>
      </w:r>
      <w:r>
        <w:rPr>
          <w:rFonts w:hint="eastAsia" w:ascii="方正仿宋_GBK" w:hAnsi="方正仿宋_GBK" w:eastAsia="方正仿宋_GBK" w:cs="方正仿宋_GBK"/>
          <w:color w:val="auto"/>
          <w:kern w:val="0"/>
          <w:sz w:val="32"/>
          <w:szCs w:val="32"/>
          <w:highlight w:val="none"/>
          <w:lang w:eastAsia="zh-CN"/>
        </w:rPr>
        <w:t>中共重庆市委军民融合发展委员会办公室</w:t>
      </w:r>
      <w:r>
        <w:rPr>
          <w:rFonts w:hint="eastAsia" w:ascii="方正仿宋_GBK" w:hAnsi="方正仿宋_GBK" w:eastAsia="方正仿宋_GBK" w:cs="方正仿宋_GBK"/>
          <w:color w:val="auto"/>
          <w:kern w:val="0"/>
          <w:sz w:val="32"/>
          <w:szCs w:val="32"/>
          <w:highlight w:val="none"/>
        </w:rPr>
        <w:t>对企业提交的申请材料进行审查，并按照药品生产质量管理规范、药品经营质量管理规范有关规定组织现场检查，根据审查和现场检查情况作出是否批准的决定。批准的</w:t>
      </w:r>
      <w:r>
        <w:rPr>
          <w:rFonts w:hint="eastAsia" w:ascii="方正仿宋_GBK" w:hAnsi="方正仿宋_GBK" w:eastAsia="方正仿宋_GBK" w:cs="方正仿宋_GBK"/>
          <w:color w:val="auto"/>
          <w:kern w:val="0"/>
          <w:sz w:val="32"/>
          <w:szCs w:val="32"/>
          <w:highlight w:val="none"/>
          <w:lang w:eastAsia="zh-CN"/>
        </w:rPr>
        <w:t>，</w:t>
      </w:r>
      <w:r>
        <w:rPr>
          <w:rFonts w:hint="eastAsia" w:ascii="方正仿宋_GBK" w:hAnsi="方正仿宋_GBK" w:eastAsia="方正仿宋_GBK" w:cs="方正仿宋_GBK"/>
          <w:color w:val="auto"/>
          <w:kern w:val="0"/>
          <w:sz w:val="32"/>
          <w:szCs w:val="32"/>
          <w:highlight w:val="none"/>
        </w:rPr>
        <w:t>由</w:t>
      </w:r>
      <w:r>
        <w:rPr>
          <w:rFonts w:hint="eastAsia" w:ascii="方正仿宋_GBK" w:hAnsi="方正仿宋_GBK" w:eastAsia="方正仿宋_GBK" w:cs="方正仿宋_GBK"/>
          <w:color w:val="auto"/>
          <w:kern w:val="0"/>
          <w:sz w:val="32"/>
          <w:szCs w:val="32"/>
          <w:highlight w:val="none"/>
          <w:lang w:eastAsia="zh-CN"/>
        </w:rPr>
        <w:t>重庆市</w:t>
      </w:r>
      <w:r>
        <w:rPr>
          <w:rFonts w:hint="eastAsia" w:ascii="方正仿宋_GBK" w:hAnsi="方正仿宋_GBK" w:eastAsia="方正仿宋_GBK" w:cs="方正仿宋_GBK"/>
          <w:color w:val="auto"/>
          <w:kern w:val="0"/>
          <w:sz w:val="32"/>
          <w:szCs w:val="32"/>
          <w:highlight w:val="none"/>
        </w:rPr>
        <w:t>药品</w:t>
      </w:r>
      <w:r>
        <w:rPr>
          <w:rFonts w:hint="eastAsia" w:ascii="方正仿宋_GBK" w:hAnsi="方正仿宋_GBK" w:eastAsia="方正仿宋_GBK" w:cs="方正仿宋_GBK"/>
          <w:color w:val="auto"/>
          <w:kern w:val="0"/>
          <w:sz w:val="32"/>
          <w:szCs w:val="32"/>
          <w:highlight w:val="none"/>
          <w:lang w:eastAsia="zh-CN"/>
        </w:rPr>
        <w:t>监督管理局</w:t>
      </w:r>
      <w:r>
        <w:rPr>
          <w:rFonts w:hint="eastAsia" w:ascii="方正仿宋_GBK" w:hAnsi="方正仿宋_GBK" w:eastAsia="方正仿宋_GBK" w:cs="方正仿宋_GBK"/>
          <w:color w:val="auto"/>
          <w:kern w:val="0"/>
          <w:sz w:val="32"/>
          <w:szCs w:val="32"/>
          <w:highlight w:val="none"/>
        </w:rPr>
        <w:t>核发许可证；不予批准的，书面说明理由。</w:t>
      </w:r>
    </w:p>
    <w:p>
      <w:pPr>
        <w:widowControl/>
        <w:numPr>
          <w:ilvl w:val="0"/>
          <w:numId w:val="0"/>
        </w:numPr>
        <w:spacing w:line="594" w:lineRule="exact"/>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 xml:space="preserve">    </w:t>
      </w:r>
      <w:r>
        <w:rPr>
          <w:rFonts w:hint="eastAsia" w:ascii="方正楷体_GBK" w:hAnsi="方正楷体_GBK" w:eastAsia="方正楷体_GBK" w:cs="方正楷体_GBK"/>
          <w:color w:val="auto"/>
          <w:sz w:val="32"/>
          <w:szCs w:val="32"/>
          <w:highlight w:val="none"/>
          <w:lang w:val="en-US" w:eastAsia="zh-CN"/>
        </w:rPr>
        <w:t>（三）审批时限。</w:t>
      </w:r>
    </w:p>
    <w:p>
      <w:pPr>
        <w:widowControl/>
        <w:numPr>
          <w:ilvl w:val="0"/>
          <w:numId w:val="0"/>
        </w:numPr>
        <w:spacing w:line="594" w:lineRule="exact"/>
        <w:ind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法定时限：40个工作日；承诺时限：20个工作日。</w:t>
      </w:r>
    </w:p>
    <w:p>
      <w:pPr>
        <w:widowControl/>
        <w:spacing w:line="540" w:lineRule="exact"/>
        <w:jc w:val="left"/>
        <w:rPr>
          <w:rFonts w:hint="eastAsia" w:ascii="方正黑体_GBK" w:hAnsi="方正黑体_GBK" w:eastAsia="方正黑体_GBK" w:cs="方正黑体_GBK"/>
          <w:color w:val="auto"/>
          <w:kern w:val="0"/>
          <w:sz w:val="32"/>
          <w:szCs w:val="32"/>
          <w:highlight w:val="none"/>
          <w:lang w:eastAsia="zh-CN"/>
        </w:rPr>
      </w:pPr>
      <w:r>
        <w:rPr>
          <w:rFonts w:hint="eastAsia" w:ascii="方正黑体_GBK" w:hAnsi="方正黑体_GBK" w:eastAsia="方正黑体_GBK" w:cs="方正黑体_GBK"/>
          <w:color w:val="auto"/>
          <w:kern w:val="0"/>
          <w:sz w:val="32"/>
          <w:szCs w:val="32"/>
          <w:highlight w:val="none"/>
          <w:lang w:val="en-US" w:eastAsia="zh-CN"/>
        </w:rPr>
        <w:t xml:space="preserve">   </w:t>
      </w:r>
      <w:r>
        <w:rPr>
          <w:rFonts w:hint="eastAsia" w:ascii="方正黑体_GBK" w:hAnsi="方正黑体_GBK" w:eastAsia="方正黑体_GBK" w:cs="方正黑体_GBK"/>
          <w:color w:val="auto"/>
          <w:kern w:val="0"/>
          <w:sz w:val="32"/>
          <w:szCs w:val="32"/>
          <w:highlight w:val="none"/>
          <w:lang w:eastAsia="zh-CN"/>
        </w:rPr>
        <w:t>七、监管措施</w:t>
      </w:r>
    </w:p>
    <w:p>
      <w:pPr>
        <w:widowControl w:val="0"/>
        <w:numPr>
          <w:ilvl w:val="0"/>
          <w:numId w:val="0"/>
        </w:numPr>
        <w:wordWrap/>
        <w:adjustRightInd/>
        <w:snapToGrid/>
        <w:spacing w:line="600" w:lineRule="exact"/>
        <w:ind w:right="0" w:firstLine="640" w:firstLineChars="200"/>
        <w:jc w:val="both"/>
        <w:textAlignment w:val="auto"/>
        <w:outlineLvl w:val="9"/>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1.严格执行有关法律法规和规章，对放射性药品生产企业加强监管，每年不少于一次GMP符合性检查。</w:t>
      </w:r>
    </w:p>
    <w:p>
      <w:pPr>
        <w:widowControl w:val="0"/>
        <w:numPr>
          <w:ilvl w:val="0"/>
          <w:numId w:val="0"/>
        </w:numPr>
        <w:wordWrap/>
        <w:adjustRightInd/>
        <w:snapToGrid/>
        <w:spacing w:line="600" w:lineRule="exact"/>
        <w:ind w:right="0" w:firstLine="640" w:firstLineChars="200"/>
        <w:jc w:val="both"/>
        <w:textAlignment w:val="auto"/>
        <w:outlineLvl w:val="9"/>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2.实施重点监管，加大违法案件查办力度。对检查发现的问题深入研判，对违法犯罪行为依法查处，违法信息及时公开。</w:t>
      </w:r>
    </w:p>
    <w:p>
      <w:pPr>
        <w:widowControl w:val="0"/>
        <w:numPr>
          <w:ilvl w:val="0"/>
          <w:numId w:val="0"/>
        </w:numPr>
        <w:wordWrap/>
        <w:adjustRightInd/>
        <w:snapToGrid/>
        <w:spacing w:line="600" w:lineRule="exact"/>
        <w:ind w:right="0" w:firstLine="640" w:firstLineChars="200"/>
        <w:jc w:val="both"/>
        <w:textAlignment w:val="auto"/>
        <w:outlineLvl w:val="9"/>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3.完善药监、国防科工、生态环境等部门间的协调配合机制，及时向社会公开许可信息，加强社会监督。</w:t>
      </w:r>
    </w:p>
    <w:p>
      <w:pPr>
        <w:widowControl w:val="0"/>
        <w:numPr>
          <w:ilvl w:val="0"/>
          <w:numId w:val="0"/>
        </w:numPr>
        <w:wordWrap/>
        <w:adjustRightInd/>
        <w:snapToGrid/>
        <w:spacing w:line="600" w:lineRule="exact"/>
        <w:ind w:right="0" w:firstLine="640" w:firstLineChars="200"/>
        <w:jc w:val="both"/>
        <w:textAlignment w:val="auto"/>
        <w:outlineLvl w:val="9"/>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八、其它事项</w:t>
      </w:r>
    </w:p>
    <w:p>
      <w:pPr>
        <w:widowControl w:val="0"/>
        <w:numPr>
          <w:ilvl w:val="0"/>
          <w:numId w:val="0"/>
        </w:numPr>
        <w:wordWrap/>
        <w:adjustRightInd/>
        <w:snapToGrid/>
        <w:spacing w:line="600" w:lineRule="exact"/>
        <w:ind w:right="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color w:val="auto"/>
          <w:kern w:val="0"/>
          <w:sz w:val="32"/>
          <w:szCs w:val="32"/>
          <w:lang w:eastAsia="zh-CN"/>
        </w:rPr>
        <w:t>放射性药品生产许可与放射性药品经营许可实行“一件事一次办”，企业</w:t>
      </w:r>
      <w:r>
        <w:rPr>
          <w:rFonts w:hint="eastAsia" w:ascii="方正仿宋_GBK" w:hAnsi="方正仿宋_GBK" w:eastAsia="方正仿宋_GBK" w:cs="方正仿宋_GBK"/>
          <w:color w:val="auto"/>
          <w:kern w:val="0"/>
          <w:sz w:val="32"/>
          <w:szCs w:val="32"/>
        </w:rPr>
        <w:t>申请开办放射性药品生产经营企业的，</w:t>
      </w:r>
      <w:r>
        <w:rPr>
          <w:rFonts w:hint="eastAsia" w:ascii="方正仿宋_GBK" w:hAnsi="方正仿宋_GBK" w:eastAsia="方正仿宋_GBK" w:cs="方正仿宋_GBK"/>
          <w:color w:val="auto"/>
          <w:kern w:val="0"/>
          <w:sz w:val="32"/>
          <w:szCs w:val="32"/>
          <w:lang w:eastAsia="zh-CN"/>
        </w:rPr>
        <w:t>一并</w:t>
      </w:r>
      <w:r>
        <w:rPr>
          <w:rFonts w:hint="eastAsia" w:ascii="方正仿宋_GBK" w:hAnsi="方正仿宋_GBK" w:eastAsia="方正仿宋_GBK" w:cs="方正仿宋_GBK"/>
          <w:color w:val="auto"/>
          <w:kern w:val="0"/>
          <w:sz w:val="32"/>
          <w:szCs w:val="32"/>
        </w:rPr>
        <w:t>将</w:t>
      </w:r>
      <w:r>
        <w:rPr>
          <w:rFonts w:hint="eastAsia" w:ascii="方正仿宋_GBK" w:hAnsi="方正仿宋_GBK" w:eastAsia="方正仿宋_GBK" w:cs="方正仿宋_GBK"/>
          <w:color w:val="auto"/>
          <w:kern w:val="0"/>
          <w:sz w:val="32"/>
          <w:szCs w:val="32"/>
          <w:lang w:eastAsia="zh-CN"/>
        </w:rPr>
        <w:t>放射性药品生产许可与放射性药品经营许可</w:t>
      </w:r>
      <w:r>
        <w:rPr>
          <w:rFonts w:hint="eastAsia" w:ascii="方正仿宋_GBK" w:hAnsi="方正仿宋_GBK" w:eastAsia="方正仿宋_GBK" w:cs="方正仿宋_GBK"/>
          <w:color w:val="auto"/>
          <w:kern w:val="0"/>
          <w:sz w:val="32"/>
          <w:szCs w:val="32"/>
        </w:rPr>
        <w:t>申请资料报送</w:t>
      </w:r>
      <w:r>
        <w:rPr>
          <w:rFonts w:hint="eastAsia" w:ascii="方正仿宋_GBK" w:hAnsi="方正仿宋_GBK" w:eastAsia="方正仿宋_GBK" w:cs="方正仿宋_GBK"/>
          <w:color w:val="auto"/>
          <w:kern w:val="0"/>
          <w:sz w:val="32"/>
          <w:szCs w:val="32"/>
          <w:lang w:eastAsia="zh-CN"/>
        </w:rPr>
        <w:t>重庆市药品监督管理局</w:t>
      </w:r>
      <w:r>
        <w:rPr>
          <w:rFonts w:hint="eastAsia" w:ascii="方正仿宋_GBK" w:hAnsi="方正仿宋_GBK" w:eastAsia="方正仿宋_GBK" w:cs="方正仿宋_GBK"/>
          <w:color w:val="auto"/>
          <w:kern w:val="0"/>
          <w:sz w:val="32"/>
          <w:szCs w:val="32"/>
        </w:rPr>
        <w:t>。</w:t>
      </w:r>
    </w:p>
    <w:p>
      <w:pPr>
        <w:widowControl/>
        <w:spacing w:line="540" w:lineRule="exact"/>
        <w:jc w:val="left"/>
        <w:rPr>
          <w:rFonts w:hint="eastAsia" w:ascii="方正仿宋_GBK" w:hAnsi="方正仿宋_GBK" w:eastAsia="方正仿宋_GBK" w:cs="方正仿宋_GBK"/>
          <w:kern w:val="0"/>
          <w:sz w:val="32"/>
          <w:szCs w:val="32"/>
          <w:lang w:val="en-US" w:eastAsia="zh-CN"/>
        </w:rPr>
      </w:pPr>
      <w:r>
        <w:rPr>
          <w:rFonts w:hint="eastAsia" w:ascii="方正仿宋_GBK" w:hAnsi="方正仿宋_GBK" w:eastAsia="方正仿宋_GBK" w:cs="方正仿宋_GBK"/>
          <w:kern w:val="0"/>
          <w:sz w:val="32"/>
          <w:szCs w:val="32"/>
          <w:lang w:val="en-US" w:eastAsia="zh-CN"/>
        </w:rPr>
        <w:t xml:space="preserve">    2.若国家药监局发布新的工作要求，则按照国家药监局相关工作要求执行。</w:t>
      </w:r>
    </w:p>
    <w:p>
      <w:pPr>
        <w:widowControl/>
        <w:spacing w:line="540" w:lineRule="exact"/>
        <w:jc w:val="left"/>
        <w:rPr>
          <w:rFonts w:ascii="Times New Roman" w:hAnsi="Times New Roman" w:eastAsia="仿宋_GB2312"/>
          <w:color w:val="auto"/>
          <w:kern w:val="0"/>
          <w:sz w:val="32"/>
          <w:szCs w:val="32"/>
          <w:highlight w:val="none"/>
        </w:rPr>
      </w:pPr>
    </w:p>
    <w:sectPr>
      <w:footerReference r:id="rId3" w:type="default"/>
      <w:pgSz w:w="11906" w:h="16838"/>
      <w:pgMar w:top="1417" w:right="1474" w:bottom="141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32</w:t>
    </w:r>
    <w: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C270AB"/>
    <w:rsid w:val="0002546F"/>
    <w:rsid w:val="00100882"/>
    <w:rsid w:val="00134554"/>
    <w:rsid w:val="003B59E7"/>
    <w:rsid w:val="003C15EE"/>
    <w:rsid w:val="003F40BC"/>
    <w:rsid w:val="005B6211"/>
    <w:rsid w:val="005F1213"/>
    <w:rsid w:val="005F6F6E"/>
    <w:rsid w:val="0061786F"/>
    <w:rsid w:val="007E426F"/>
    <w:rsid w:val="008B73CD"/>
    <w:rsid w:val="00985F90"/>
    <w:rsid w:val="00A46FA6"/>
    <w:rsid w:val="00A7513F"/>
    <w:rsid w:val="00C270AB"/>
    <w:rsid w:val="00C470F6"/>
    <w:rsid w:val="00C90B7D"/>
    <w:rsid w:val="00D143B5"/>
    <w:rsid w:val="00E214D7"/>
    <w:rsid w:val="00E3037D"/>
    <w:rsid w:val="00EA2AB7"/>
    <w:rsid w:val="00F44409"/>
    <w:rsid w:val="00F6473A"/>
    <w:rsid w:val="00FD1A90"/>
    <w:rsid w:val="032E2F4A"/>
    <w:rsid w:val="03FD01A2"/>
    <w:rsid w:val="0ADE46E3"/>
    <w:rsid w:val="0B7F0A4D"/>
    <w:rsid w:val="0DDE5050"/>
    <w:rsid w:val="0FC53BEC"/>
    <w:rsid w:val="134F727B"/>
    <w:rsid w:val="1A4E35C8"/>
    <w:rsid w:val="1FFC08C0"/>
    <w:rsid w:val="22417310"/>
    <w:rsid w:val="240F3678"/>
    <w:rsid w:val="243F32EC"/>
    <w:rsid w:val="298D2683"/>
    <w:rsid w:val="2A871692"/>
    <w:rsid w:val="2D23171B"/>
    <w:rsid w:val="2D506D67"/>
    <w:rsid w:val="2EAA029D"/>
    <w:rsid w:val="2F244C34"/>
    <w:rsid w:val="2F50706C"/>
    <w:rsid w:val="2FBA013E"/>
    <w:rsid w:val="2FF6286D"/>
    <w:rsid w:val="32F90590"/>
    <w:rsid w:val="34CC32C9"/>
    <w:rsid w:val="36D83D8B"/>
    <w:rsid w:val="3D3140D3"/>
    <w:rsid w:val="3E170F5C"/>
    <w:rsid w:val="40A311E9"/>
    <w:rsid w:val="42212F8E"/>
    <w:rsid w:val="45DF9700"/>
    <w:rsid w:val="55F3EFE5"/>
    <w:rsid w:val="58701BA4"/>
    <w:rsid w:val="58D70421"/>
    <w:rsid w:val="5B2D4026"/>
    <w:rsid w:val="62636276"/>
    <w:rsid w:val="63B04D98"/>
    <w:rsid w:val="63C43411"/>
    <w:rsid w:val="64A4189B"/>
    <w:rsid w:val="66947E0B"/>
    <w:rsid w:val="6715286F"/>
    <w:rsid w:val="6809233A"/>
    <w:rsid w:val="6C107C57"/>
    <w:rsid w:val="6D3B55AA"/>
    <w:rsid w:val="6EB59771"/>
    <w:rsid w:val="73487252"/>
    <w:rsid w:val="77DFC969"/>
    <w:rsid w:val="7D7BA6CB"/>
    <w:rsid w:val="7FAECE31"/>
    <w:rsid w:val="89BF9DDE"/>
    <w:rsid w:val="ADE5932C"/>
    <w:rsid w:val="B96B265F"/>
    <w:rsid w:val="BEFFE9A6"/>
    <w:rsid w:val="BFEF40EB"/>
    <w:rsid w:val="FBB6C10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qFormat="1"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unhideWhenUsed/>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0"/>
    <w:rPr>
      <w:rFonts w:ascii="宋体" w:hAnsi="Courier New" w:cs="Courier New"/>
      <w:szCs w:val="21"/>
    </w:rPr>
  </w:style>
  <w:style w:type="paragraph" w:styleId="3">
    <w:name w:val="Body Text Indent 2"/>
    <w:basedOn w:val="1"/>
    <w:qFormat/>
    <w:uiPriority w:val="0"/>
    <w:pPr>
      <w:tabs>
        <w:tab w:val="left" w:pos="720"/>
      </w:tabs>
      <w:adjustRightInd w:val="0"/>
      <w:snapToGrid w:val="0"/>
      <w:spacing w:line="360" w:lineRule="auto"/>
      <w:ind w:firstLine="480"/>
    </w:pPr>
    <w:rPr>
      <w:rFonts w:eastAsia="仿宋_GB2312"/>
      <w:sz w:val="24"/>
    </w:rPr>
  </w:style>
  <w:style w:type="paragraph" w:styleId="4">
    <w:name w:val="Balloon Text"/>
    <w:basedOn w:val="1"/>
    <w:link w:val="14"/>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Indent 3"/>
    <w:basedOn w:val="1"/>
    <w:qFormat/>
    <w:uiPriority w:val="0"/>
    <w:pPr>
      <w:tabs>
        <w:tab w:val="left" w:pos="720"/>
      </w:tabs>
      <w:adjustRightInd w:val="0"/>
      <w:snapToGrid w:val="0"/>
      <w:spacing w:line="360" w:lineRule="auto"/>
      <w:ind w:firstLine="540"/>
    </w:pPr>
    <w:rPr>
      <w:rFonts w:eastAsia="仿宋_GB2312"/>
      <w:sz w:val="24"/>
    </w:rPr>
  </w:style>
  <w:style w:type="character" w:styleId="10">
    <w:name w:val="Strong"/>
    <w:basedOn w:val="9"/>
    <w:qFormat/>
    <w:uiPriority w:val="0"/>
    <w:rPr>
      <w:b/>
    </w:rPr>
  </w:style>
  <w:style w:type="paragraph" w:customStyle="1" w:styleId="11">
    <w:name w:val="List Paragraph"/>
    <w:basedOn w:val="1"/>
    <w:qFormat/>
    <w:uiPriority w:val="34"/>
    <w:pPr>
      <w:ind w:firstLine="420" w:firstLineChars="200"/>
    </w:pPr>
  </w:style>
  <w:style w:type="character" w:customStyle="1" w:styleId="12">
    <w:name w:val="页眉 Char"/>
    <w:basedOn w:val="9"/>
    <w:link w:val="6"/>
    <w:qFormat/>
    <w:uiPriority w:val="99"/>
    <w:rPr>
      <w:rFonts w:ascii="Calibri" w:hAnsi="Calibri" w:eastAsia="宋体" w:cs="Times New Roman"/>
      <w:sz w:val="18"/>
      <w:szCs w:val="18"/>
    </w:rPr>
  </w:style>
  <w:style w:type="character" w:customStyle="1" w:styleId="13">
    <w:name w:val="页脚 Char"/>
    <w:basedOn w:val="9"/>
    <w:link w:val="5"/>
    <w:qFormat/>
    <w:uiPriority w:val="99"/>
    <w:rPr>
      <w:rFonts w:ascii="Calibri" w:hAnsi="Calibri" w:eastAsia="宋体" w:cs="Times New Roman"/>
      <w:sz w:val="18"/>
      <w:szCs w:val="18"/>
    </w:rPr>
  </w:style>
  <w:style w:type="character" w:customStyle="1" w:styleId="14">
    <w:name w:val="批注框文本 Char"/>
    <w:basedOn w:val="9"/>
    <w:link w:val="4"/>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76</Pages>
  <Words>5699</Words>
  <Characters>32487</Characters>
  <Lines>270</Lines>
  <Paragraphs>76</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2021-06-20T10:51:00Z</dcterms:created>
  <dc:creator>view01</dc:creator>
  <cp:lastModifiedBy>芒果麻麻</cp:lastModifiedBy>
  <cp:lastPrinted>2021-06-21T08:32:00Z</cp:lastPrinted>
  <dcterms:modified xsi:type="dcterms:W3CDTF">2021-08-24T03:05:46Z</dcterms:modified>
  <dc:title>附件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2EF2CCE2767448808D58616E586C37C1</vt:lpwstr>
  </property>
</Properties>
</file>