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exact"/>
        <w:jc w:val="left"/>
        <w:rPr>
          <w:rFonts w:hint="default" w:ascii="Times New Roman" w:hAnsi="Times New Roman" w:eastAsia="黑体" w:cs="黑体"/>
          <w:kern w:val="0"/>
          <w:sz w:val="32"/>
          <w:szCs w:val="32"/>
          <w:lang w:val="en-US" w:eastAsia="zh-CN"/>
        </w:rPr>
      </w:pPr>
      <w:r>
        <w:rPr>
          <w:rFonts w:hint="eastAsia" w:ascii="Times New Roman" w:hAnsi="Times New Roman" w:eastAsia="黑体" w:cs="黑体"/>
          <w:kern w:val="0"/>
          <w:sz w:val="32"/>
          <w:szCs w:val="32"/>
          <w:lang w:val="en-US" w:eastAsia="zh-CN"/>
        </w:rPr>
        <w:t>附件26</w:t>
      </w:r>
      <w:bookmarkStart w:id="0" w:name="_GoBack"/>
      <w:bookmarkEnd w:id="0"/>
    </w:p>
    <w:p>
      <w:pPr>
        <w:widowControl/>
        <w:spacing w:line="540" w:lineRule="exact"/>
        <w:ind w:firstLine="880" w:firstLineChars="200"/>
        <w:jc w:val="center"/>
        <w:rPr>
          <w:rFonts w:hint="eastAsia" w:ascii="方正小标宋_GBK" w:hAnsi="方正小标宋_GBK" w:eastAsia="方正小标宋_GBK" w:cs="方正小标宋_GBK"/>
          <w:kern w:val="0"/>
          <w:sz w:val="44"/>
          <w:szCs w:val="44"/>
        </w:rPr>
      </w:pPr>
    </w:p>
    <w:p>
      <w:pPr>
        <w:widowControl/>
        <w:spacing w:line="540" w:lineRule="exact"/>
        <w:jc w:val="center"/>
        <w:rPr>
          <w:rFonts w:hint="eastAsia"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药品批发企业筹建审批具体管理措施</w:t>
      </w:r>
    </w:p>
    <w:p>
      <w:pPr>
        <w:widowControl/>
        <w:spacing w:line="594" w:lineRule="exact"/>
        <w:jc w:val="center"/>
        <w:rPr>
          <w:rFonts w:hint="eastAsia" w:ascii="Times New Roman" w:hAnsi="Times New Roman" w:eastAsia="楷体_GB2312" w:cs="楷体_GB2312"/>
          <w:kern w:val="0"/>
          <w:sz w:val="32"/>
          <w:szCs w:val="32"/>
          <w:lang w:eastAsia="zh-CN"/>
        </w:rPr>
      </w:pPr>
      <w:r>
        <w:rPr>
          <w:rFonts w:hint="eastAsia" w:ascii="Times New Roman" w:hAnsi="Times New Roman" w:eastAsia="楷体_GB2312" w:cs="楷体_GB2312"/>
          <w:kern w:val="0"/>
          <w:sz w:val="32"/>
          <w:szCs w:val="32"/>
          <w:lang w:eastAsia="zh-CN"/>
        </w:rPr>
        <w:t>（</w:t>
      </w:r>
      <w:r>
        <w:rPr>
          <w:rFonts w:hint="eastAsia" w:ascii="Times New Roman" w:hAnsi="Times New Roman" w:eastAsia="楷体_GB2312" w:cs="楷体_GB2312"/>
          <w:kern w:val="0"/>
          <w:sz w:val="32"/>
          <w:szCs w:val="32"/>
        </w:rPr>
        <w:t>重庆自贸试验区</w:t>
      </w:r>
      <w:r>
        <w:rPr>
          <w:rFonts w:hint="eastAsia" w:ascii="Times New Roman" w:hAnsi="Times New Roman" w:eastAsia="楷体_GB2312" w:cs="楷体_GB2312"/>
          <w:kern w:val="0"/>
          <w:sz w:val="32"/>
          <w:szCs w:val="32"/>
          <w:lang w:eastAsia="zh-CN"/>
        </w:rPr>
        <w:t>）</w:t>
      </w:r>
    </w:p>
    <w:p>
      <w:pPr>
        <w:widowControl/>
        <w:spacing w:line="594" w:lineRule="exact"/>
        <w:ind w:firstLine="420" w:firstLineChars="200"/>
        <w:rPr>
          <w:rFonts w:ascii="Times New Roman" w:hAnsi="Times New Roman" w:eastAsia="方正仿宋_GBK"/>
          <w:kern w:val="0"/>
        </w:rPr>
      </w:pPr>
    </w:p>
    <w:p>
      <w:pPr>
        <w:widowControl/>
        <w:spacing w:line="540" w:lineRule="exact"/>
        <w:ind w:firstLine="640" w:firstLineChars="200"/>
        <w:jc w:val="left"/>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lang w:eastAsia="zh-CN"/>
        </w:rPr>
        <w:t>一、责任处室</w:t>
      </w:r>
    </w:p>
    <w:p>
      <w:pPr>
        <w:widowControl/>
        <w:spacing w:line="594" w:lineRule="exact"/>
        <w:ind w:firstLine="640" w:firstLineChars="200"/>
        <w:jc w:val="left"/>
        <w:rPr>
          <w:rFonts w:hint="eastAsia" w:ascii="方正仿宋_GBK" w:hAnsi="方正仿宋_GBK" w:eastAsia="方正仿宋_GBK" w:cs="方正仿宋_GBK"/>
          <w:kern w:val="0"/>
          <w:sz w:val="32"/>
          <w:szCs w:val="32"/>
          <w:lang w:eastAsia="zh-CN"/>
        </w:rPr>
      </w:pPr>
      <w:r>
        <w:rPr>
          <w:rFonts w:hint="eastAsia" w:ascii="方正仿宋_GBK" w:hAnsi="方正仿宋_GBK" w:eastAsia="方正仿宋_GBK" w:cs="方正仿宋_GBK"/>
          <w:kern w:val="0"/>
          <w:sz w:val="32"/>
          <w:szCs w:val="32"/>
          <w:lang w:eastAsia="zh-CN"/>
        </w:rPr>
        <w:t>药品流通监督管理处</w:t>
      </w:r>
    </w:p>
    <w:p>
      <w:pPr>
        <w:widowControl/>
        <w:spacing w:line="594" w:lineRule="exact"/>
        <w:ind w:firstLine="640" w:firstLineChars="200"/>
        <w:jc w:val="left"/>
        <w:rPr>
          <w:rFonts w:hint="eastAsia" w:ascii="方正黑体_GBK" w:hAnsi="方正黑体_GBK" w:eastAsia="方正黑体_GBK" w:cs="方正黑体_GBK"/>
          <w:kern w:val="0"/>
          <w:sz w:val="32"/>
          <w:szCs w:val="32"/>
          <w:lang w:eastAsia="zh-CN"/>
        </w:rPr>
      </w:pPr>
      <w:r>
        <w:rPr>
          <w:rFonts w:hint="eastAsia" w:ascii="方正黑体_GBK" w:hAnsi="方正黑体_GBK" w:eastAsia="方正黑体_GBK" w:cs="方正黑体_GBK"/>
          <w:kern w:val="0"/>
          <w:sz w:val="32"/>
          <w:szCs w:val="32"/>
          <w:lang w:eastAsia="zh-CN"/>
        </w:rPr>
        <w:t>二、改革内容</w:t>
      </w:r>
    </w:p>
    <w:p>
      <w:pPr>
        <w:widowControl/>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kern w:val="0"/>
          <w:sz w:val="32"/>
          <w:szCs w:val="32"/>
        </w:rPr>
        <w:t>根据《国务院关于深化“证照分离”改革进一步激发市场主体发展活力的通知》（国发〔</w:t>
      </w:r>
      <w:r>
        <w:rPr>
          <w:rFonts w:hint="eastAsia" w:ascii="方正仿宋_GBK" w:hAnsi="方正仿宋_GBK" w:eastAsia="方正仿宋_GBK" w:cs="方正仿宋_GBK"/>
          <w:sz w:val="32"/>
          <w:szCs w:val="32"/>
        </w:rPr>
        <w:t>2021〕7号）</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rPr>
        <w:t>《重庆市人民政府关于印发重庆市深化“证照分离”改革进一步激发市场主体发展活力实施方案的通知》（渝府发〔2021〕16号）</w:t>
      </w:r>
      <w:r>
        <w:rPr>
          <w:rFonts w:hint="eastAsia" w:ascii="方正仿宋_GBK" w:hAnsi="方正仿宋_GBK" w:eastAsia="方正仿宋_GBK" w:cs="方正仿宋_GBK"/>
          <w:sz w:val="32"/>
          <w:szCs w:val="32"/>
        </w:rPr>
        <w:t>，试点在自由贸易试验区内开办药品批发企业不再向药监部门申办筹建审批，直接申请办理药品经营许可。</w:t>
      </w:r>
    </w:p>
    <w:p>
      <w:pPr>
        <w:widowControl/>
        <w:spacing w:line="594" w:lineRule="exact"/>
        <w:ind w:firstLine="640" w:firstLineChars="200"/>
        <w:jc w:val="left"/>
      </w:pPr>
      <w:r>
        <w:rPr>
          <w:rFonts w:hint="eastAsia" w:ascii="方正黑体_GBK" w:hAnsi="方正黑体_GBK" w:eastAsia="方正黑体_GBK" w:cs="方正黑体_GBK"/>
          <w:kern w:val="0"/>
          <w:sz w:val="32"/>
          <w:szCs w:val="32"/>
          <w:lang w:eastAsia="zh-CN"/>
        </w:rPr>
        <w:t>三、监管措施</w:t>
      </w:r>
    </w:p>
    <w:p>
      <w:pPr>
        <w:widowControl/>
        <w:numPr>
          <w:ilvl w:val="0"/>
          <w:numId w:val="0"/>
        </w:numPr>
        <w:spacing w:line="594" w:lineRule="exact"/>
        <w:jc w:val="left"/>
        <w:rPr>
          <w:rFonts w:hint="eastAsia" w:ascii="方正仿宋_GBK" w:hAnsi="方正仿宋_GBK" w:eastAsia="方正仿宋_GBK" w:cs="方正仿宋_GBK"/>
          <w:sz w:val="32"/>
          <w:szCs w:val="32"/>
        </w:rPr>
      </w:pPr>
      <w:r>
        <w:rPr>
          <w:rFonts w:hint="eastAsia" w:ascii="Times New Roman" w:hAnsi="Times New Roman" w:eastAsia="仿宋_GB2312"/>
          <w:sz w:val="32"/>
          <w:szCs w:val="32"/>
          <w:lang w:val="en-US" w:eastAsia="zh-CN"/>
        </w:rPr>
        <w:t xml:space="preserve">   </w:t>
      </w:r>
      <w:r>
        <w:rPr>
          <w:rFonts w:hint="eastAsia" w:ascii="方正仿宋_GBK" w:hAnsi="方正仿宋_GBK" w:eastAsia="方正仿宋_GBK" w:cs="方正仿宋_GBK"/>
          <w:sz w:val="32"/>
          <w:szCs w:val="32"/>
          <w:lang w:val="en-US" w:eastAsia="zh-CN"/>
        </w:rPr>
        <w:t xml:space="preserve"> 1.</w:t>
      </w:r>
      <w:r>
        <w:rPr>
          <w:rFonts w:hint="eastAsia" w:ascii="方正仿宋_GBK" w:hAnsi="方正仿宋_GBK" w:eastAsia="方正仿宋_GBK" w:cs="方正仿宋_GBK"/>
          <w:sz w:val="32"/>
          <w:szCs w:val="32"/>
        </w:rPr>
        <w:t>落实“四个最严”要求，制定年度监管计划，突出监管重点，强化风险控制。</w:t>
      </w:r>
    </w:p>
    <w:p>
      <w:pPr>
        <w:widowControl/>
        <w:numPr>
          <w:ilvl w:val="0"/>
          <w:numId w:val="0"/>
        </w:numPr>
        <w:spacing w:line="594" w:lineRule="exact"/>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2.</w:t>
      </w:r>
      <w:r>
        <w:rPr>
          <w:rFonts w:hint="eastAsia" w:ascii="方正仿宋_GBK" w:hAnsi="方正仿宋_GBK" w:eastAsia="方正仿宋_GBK" w:cs="方正仿宋_GBK"/>
          <w:sz w:val="32"/>
          <w:szCs w:val="32"/>
        </w:rPr>
        <w:t>通过日常监管、专项检查等督促企业不断完善、改进质量管理体系，持续合法合规经营。</w:t>
      </w:r>
    </w:p>
    <w:p>
      <w:pPr>
        <w:widowControl/>
        <w:numPr>
          <w:ilvl w:val="0"/>
          <w:numId w:val="0"/>
        </w:numPr>
        <w:spacing w:line="594" w:lineRule="exact"/>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3.</w:t>
      </w:r>
      <w:r>
        <w:rPr>
          <w:rFonts w:hint="eastAsia" w:ascii="方正仿宋_GBK" w:hAnsi="方正仿宋_GBK" w:eastAsia="方正仿宋_GBK" w:cs="方正仿宋_GBK"/>
          <w:sz w:val="32"/>
          <w:szCs w:val="32"/>
        </w:rPr>
        <w:t>对违法违规行为，依法严厉查处并公开曝光。</w:t>
      </w:r>
    </w:p>
    <w:p>
      <w:pPr>
        <w:widowControl/>
        <w:numPr>
          <w:ilvl w:val="0"/>
          <w:numId w:val="0"/>
        </w:numPr>
        <w:spacing w:line="594" w:lineRule="exact"/>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4.</w:t>
      </w:r>
      <w:r>
        <w:rPr>
          <w:rFonts w:hint="eastAsia" w:ascii="方正仿宋_GBK" w:hAnsi="方正仿宋_GBK" w:eastAsia="方正仿宋_GBK" w:cs="方正仿宋_GBK"/>
          <w:sz w:val="32"/>
          <w:szCs w:val="32"/>
        </w:rPr>
        <w:t>及时向社会公开许可信息，加强社会监督。加强抽检监测。对监督抽检中发现的不符合规定产品和违法违规行为，依法进行查处。</w:t>
      </w:r>
    </w:p>
    <w:p>
      <w:pPr>
        <w:widowControl/>
        <w:numPr>
          <w:ilvl w:val="0"/>
          <w:numId w:val="0"/>
        </w:numPr>
        <w:spacing w:line="594" w:lineRule="exact"/>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 xml:space="preserve">    5.</w:t>
      </w:r>
      <w:r>
        <w:rPr>
          <w:rFonts w:hint="eastAsia" w:ascii="方正仿宋_GBK" w:hAnsi="方正仿宋_GBK" w:eastAsia="方正仿宋_GBK" w:cs="方正仿宋_GBK"/>
          <w:sz w:val="32"/>
          <w:szCs w:val="32"/>
        </w:rPr>
        <w:t>畅通投诉举报渠道，发挥12315投诉举报职能，强化社会监督，落实药品安全社会共治。</w:t>
      </w:r>
    </w:p>
    <w:p>
      <w:pPr>
        <w:widowControl/>
        <w:numPr>
          <w:ilvl w:val="0"/>
          <w:numId w:val="0"/>
        </w:numPr>
        <w:spacing w:line="594" w:lineRule="exact"/>
        <w:ind w:firstLine="640" w:firstLineChars="200"/>
        <w:jc w:val="left"/>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6.</w:t>
      </w:r>
      <w:r>
        <w:rPr>
          <w:rFonts w:hint="eastAsia" w:ascii="方正仿宋_GBK" w:hAnsi="方正仿宋_GBK" w:eastAsia="方正仿宋_GBK" w:cs="方正仿宋_GBK"/>
          <w:sz w:val="32"/>
          <w:szCs w:val="32"/>
        </w:rPr>
        <w:t>加强信用监管，依法依规对失信主体开展失信惩戒。</w:t>
      </w:r>
    </w:p>
    <w:p>
      <w:pPr>
        <w:spacing w:line="600" w:lineRule="exact"/>
        <w:ind w:firstLine="640" w:firstLineChars="200"/>
        <w:jc w:val="both"/>
        <w:rPr>
          <w:rFonts w:ascii="方正黑体_GBK" w:eastAsia="方正黑体_GBK" w:cs="楷体_GB2312"/>
          <w:color w:val="auto"/>
          <w:kern w:val="0"/>
          <w:sz w:val="32"/>
          <w:szCs w:val="32"/>
          <w:highlight w:val="none"/>
        </w:rPr>
      </w:pPr>
      <w:r>
        <w:rPr>
          <w:rFonts w:hint="eastAsia" w:ascii="方正黑体_GBK" w:eastAsia="方正黑体_GBK" w:cs="楷体_GB2312"/>
          <w:color w:val="auto"/>
          <w:kern w:val="0"/>
          <w:sz w:val="32"/>
          <w:szCs w:val="32"/>
          <w:highlight w:val="none"/>
          <w:lang w:eastAsia="zh-CN"/>
        </w:rPr>
        <w:t>四</w:t>
      </w:r>
      <w:r>
        <w:rPr>
          <w:rFonts w:hint="eastAsia" w:ascii="方正黑体_GBK" w:eastAsia="方正黑体_GBK" w:cs="楷体_GB2312"/>
          <w:color w:val="auto"/>
          <w:kern w:val="0"/>
          <w:sz w:val="32"/>
          <w:szCs w:val="32"/>
          <w:highlight w:val="none"/>
        </w:rPr>
        <w:t>、其他事项</w:t>
      </w:r>
    </w:p>
    <w:p>
      <w:pPr>
        <w:spacing w:line="360" w:lineRule="auto"/>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重庆自由贸易试验区所在区的其他区域</w:t>
      </w:r>
      <w:r>
        <w:rPr>
          <w:rFonts w:hint="eastAsia" w:ascii="方正仿宋_GBK" w:hAnsi="方正仿宋_GBK" w:eastAsia="方正仿宋_GBK" w:cs="方正仿宋_GBK"/>
          <w:color w:val="auto"/>
          <w:sz w:val="32"/>
          <w:szCs w:val="32"/>
          <w:highlight w:val="none"/>
        </w:rPr>
        <w:t>参照执行。</w:t>
      </w:r>
    </w:p>
    <w:p>
      <w:pPr>
        <w:widowControl/>
        <w:numPr>
          <w:ilvl w:val="0"/>
          <w:numId w:val="0"/>
        </w:numPr>
        <w:spacing w:line="594" w:lineRule="exact"/>
        <w:ind w:firstLine="640" w:firstLineChars="200"/>
        <w:jc w:val="left"/>
        <w:rPr>
          <w:rFonts w:hint="eastAsia" w:ascii="Times New Roman" w:hAnsi="Times New Roman" w:eastAsia="仿宋_GB2312"/>
          <w:sz w:val="32"/>
          <w:szCs w:val="32"/>
        </w:rPr>
      </w:pPr>
    </w:p>
    <w:sectPr>
      <w:pgSz w:w="11906" w:h="16838"/>
      <w:pgMar w:top="1417" w:right="1417" w:bottom="1417"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5AED1376"/>
    <w:rsid w:val="00462640"/>
    <w:rsid w:val="03E4576F"/>
    <w:rsid w:val="0D246B1B"/>
    <w:rsid w:val="10B14B52"/>
    <w:rsid w:val="1302717C"/>
    <w:rsid w:val="133F7136"/>
    <w:rsid w:val="16121656"/>
    <w:rsid w:val="1DC6350D"/>
    <w:rsid w:val="20B3059B"/>
    <w:rsid w:val="25AD238D"/>
    <w:rsid w:val="29C22072"/>
    <w:rsid w:val="373D5BAF"/>
    <w:rsid w:val="394F7552"/>
    <w:rsid w:val="3A04761C"/>
    <w:rsid w:val="3BF9704A"/>
    <w:rsid w:val="41AA4E08"/>
    <w:rsid w:val="525A1FA9"/>
    <w:rsid w:val="57D216E0"/>
    <w:rsid w:val="5AED1376"/>
    <w:rsid w:val="5CEC747F"/>
    <w:rsid w:val="67984605"/>
    <w:rsid w:val="6EB02B29"/>
    <w:rsid w:val="6F124687"/>
    <w:rsid w:val="6FCF7F12"/>
    <w:rsid w:val="78B80C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2021-08-06T08:12:00Z</dcterms:created>
  <dc:creator>廖磊</dc:creator>
  <cp:lastModifiedBy>芒果麻麻</cp:lastModifiedBy>
  <dcterms:modified xsi:type="dcterms:W3CDTF">2021-08-24T03:08:42Z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019021F0E2BA4F5AB1EBC831DEA27ED4</vt:lpwstr>
  </property>
</Properties>
</file>