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40" w:lineRule="exact"/>
        <w:jc w:val="left"/>
        <w:rPr>
          <w:rFonts w:hint="default" w:ascii="Times New Roman" w:hAnsi="Times New Roman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kern w:val="0"/>
          <w:sz w:val="32"/>
          <w:szCs w:val="32"/>
          <w:lang w:val="en-US" w:eastAsia="zh-CN"/>
        </w:rPr>
        <w:t>附件20</w:t>
      </w:r>
      <w:bookmarkStart w:id="0" w:name="_GoBack"/>
      <w:bookmarkEnd w:id="0"/>
    </w:p>
    <w:p>
      <w:pPr>
        <w:numPr>
          <w:ilvl w:val="0"/>
          <w:numId w:val="0"/>
        </w:numPr>
        <w:wordWrap/>
        <w:jc w:val="left"/>
        <w:rPr>
          <w:rFonts w:hint="eastAsia" w:ascii="方正仿宋_GBK" w:hAnsi="方正仿宋_GBK" w:cs="方正仿宋_GBK"/>
          <w:color w:val="0000FF"/>
          <w:spacing w:val="-4"/>
          <w:sz w:val="32"/>
          <w:szCs w:val="32"/>
          <w:highlight w:val="none"/>
          <w:lang w:val="en-US" w:eastAsia="zh-CN"/>
        </w:rPr>
      </w:pPr>
    </w:p>
    <w:p>
      <w:pPr>
        <w:widowControl/>
        <w:spacing w:line="540" w:lineRule="exact"/>
        <w:jc w:val="center"/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>药品批发企业经营蛋白同化制剂、肽类激素</w:t>
      </w:r>
    </w:p>
    <w:p>
      <w:pPr>
        <w:widowControl/>
        <w:spacing w:line="540" w:lineRule="exact"/>
        <w:jc w:val="center"/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>审批具体管理措施</w:t>
      </w:r>
    </w:p>
    <w:p>
      <w:pPr>
        <w:widowControl/>
        <w:spacing w:line="540" w:lineRule="exact"/>
        <w:ind w:firstLine="640" w:firstLineChars="200"/>
        <w:rPr>
          <w:rFonts w:hint="eastAsia" w:ascii="Times New Roman" w:hAnsi="Times New Roman" w:eastAsia="黑体" w:cs="黑体"/>
          <w:kern w:val="0"/>
          <w:sz w:val="32"/>
          <w:szCs w:val="32"/>
        </w:rPr>
      </w:pPr>
    </w:p>
    <w:p>
      <w:pPr>
        <w:widowControl/>
        <w:spacing w:line="54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  <w:lang w:eastAsia="zh-CN"/>
        </w:rPr>
        <w:t>一、责任处室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行政审批处、药品流通监督管理处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kern w:val="0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  <w:lang w:eastAsia="zh-CN"/>
        </w:rPr>
        <w:t>二、改革内容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根据《国务院关于深化“证照分离”改革进一步激发市场主体发展活力的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通知》（国发〔2021〕7号）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《重庆市人民政府关于印发重庆市深化“证照分离”改革进一步激发市场主体发展活力实施方案的通知》（渝府发〔2021〕16号）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，对“药品批发企业经营蛋白同化制剂、肽类激素审批”优化审批服务，不再要求申请人提供药品经营许可证、药品经营质量管理规范（GSP）证书等材料。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kern w:val="0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  <w:lang w:eastAsia="zh-CN"/>
        </w:rPr>
        <w:t>三、法律依据</w:t>
      </w:r>
    </w:p>
    <w:p>
      <w:pPr>
        <w:widowControl/>
        <w:spacing w:line="540" w:lineRule="exact"/>
        <w:ind w:firstLine="640" w:firstLineChars="200"/>
        <w:jc w:val="left"/>
        <w:rPr>
          <w:rFonts w:ascii="Times New Roman" w:hAnsi="Times New Roman" w:eastAsia="仿宋_GB2312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《反兴奋剂条例》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kern w:val="0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  <w:lang w:eastAsia="zh-CN"/>
        </w:rPr>
        <w:t>四、许可条件</w:t>
      </w:r>
    </w:p>
    <w:p>
      <w:pPr>
        <w:adjustRightInd w:val="0"/>
        <w:snapToGrid w:val="0"/>
        <w:spacing w:line="54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《反兴奋剂条例》第九条 依照药品管理法的规定取得《药品经营许可证》的药品批发企业，具备下列条件，并经省、自治区、直辖市人民政府药品监督管理部门批准，方可经营蛋白同化制剂、肽类激素：</w:t>
      </w:r>
    </w:p>
    <w:p>
      <w:pPr>
        <w:adjustRightInd w:val="0"/>
        <w:snapToGrid w:val="0"/>
        <w:spacing w:line="540" w:lineRule="exac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1.有专门的管理人员。</w:t>
      </w:r>
    </w:p>
    <w:p>
      <w:pPr>
        <w:adjustRightInd w:val="0"/>
        <w:snapToGrid w:val="0"/>
        <w:spacing w:line="540" w:lineRule="exac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2.有专储仓库或者专储药柜。</w:t>
      </w:r>
    </w:p>
    <w:p>
      <w:pPr>
        <w:adjustRightInd w:val="0"/>
        <w:snapToGrid w:val="0"/>
        <w:spacing w:line="540" w:lineRule="exac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3.有专门的验收、检查、保管、销售和出入库登记制度。</w:t>
      </w:r>
    </w:p>
    <w:p>
      <w:pPr>
        <w:adjustRightInd w:val="0"/>
        <w:snapToGrid w:val="0"/>
        <w:spacing w:line="540" w:lineRule="exac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4.法律、行政法规规定的其他条件。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kern w:val="0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  <w:lang w:eastAsia="zh-CN"/>
        </w:rPr>
        <w:t>五、材料要求</w:t>
      </w:r>
    </w:p>
    <w:p>
      <w:pPr>
        <w:adjustRightInd w:val="0"/>
        <w:snapToGrid w:val="0"/>
        <w:spacing w:line="540" w:lineRule="exac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1.书面申请（包括申请单位的基本情况，人员、场地、设施、储存保管条件、准备经营的品种等加盖企业公章）及申请表。</w:t>
      </w:r>
    </w:p>
    <w:p>
      <w:pPr>
        <w:adjustRightInd w:val="0"/>
        <w:snapToGrid w:val="0"/>
        <w:spacing w:line="540" w:lineRule="exac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2.《营业执照》复印件。</w:t>
      </w:r>
    </w:p>
    <w:p>
      <w:pPr>
        <w:adjustRightInd w:val="0"/>
        <w:snapToGrid w:val="0"/>
        <w:spacing w:line="540" w:lineRule="exac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3.人员资质证明性资料。</w:t>
      </w:r>
    </w:p>
    <w:p>
      <w:pPr>
        <w:adjustRightInd w:val="0"/>
        <w:snapToGrid w:val="0"/>
        <w:spacing w:line="540" w:lineRule="exac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4.仓储、经营布局图。</w:t>
      </w:r>
    </w:p>
    <w:p>
      <w:pPr>
        <w:adjustRightInd w:val="0"/>
        <w:snapToGrid w:val="0"/>
        <w:spacing w:line="540" w:lineRule="exac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5.验收、检查、保管、销售和出入库管理制度。</w:t>
      </w:r>
    </w:p>
    <w:p>
      <w:pPr>
        <w:adjustRightInd w:val="0"/>
        <w:snapToGrid w:val="0"/>
        <w:spacing w:line="540" w:lineRule="exac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6.材料真实性的自我保证声明。</w:t>
      </w:r>
    </w:p>
    <w:p>
      <w:pPr>
        <w:widowControl/>
        <w:numPr>
          <w:ilvl w:val="0"/>
          <w:numId w:val="1"/>
        </w:numPr>
        <w:spacing w:line="54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kern w:val="0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  <w:lang w:eastAsia="zh-CN"/>
        </w:rPr>
        <w:t>程序环节</w:t>
      </w:r>
    </w:p>
    <w:p>
      <w:pPr>
        <w:widowControl/>
        <w:spacing w:line="594" w:lineRule="exact"/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lang w:val="en-US" w:eastAsia="zh-CN"/>
        </w:rPr>
        <w:t xml:space="preserve">   </w:t>
      </w: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</w:rPr>
        <w:t>（一）审批层级</w:t>
      </w: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eastAsia="zh-CN"/>
        </w:rPr>
        <w:t>。</w:t>
      </w:r>
    </w:p>
    <w:p>
      <w:pPr>
        <w:widowControl/>
        <w:spacing w:line="594" w:lineRule="exact"/>
        <w:ind w:firstLine="640" w:firstLineChars="200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 xml:space="preserve">1.受理机构: 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eastAsia="zh-CN"/>
        </w:rPr>
        <w:t>重庆市药品监督管理局</w:t>
      </w:r>
    </w:p>
    <w:p>
      <w:pPr>
        <w:widowControl/>
        <w:spacing w:line="594" w:lineRule="exact"/>
        <w:ind w:firstLine="640" w:firstLineChars="200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</w:rPr>
        <w:t xml:space="preserve">2.决定机构: </w:t>
      </w:r>
      <w:r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eastAsia="zh-CN"/>
        </w:rPr>
        <w:t>重庆市药品监督管理局</w:t>
      </w:r>
    </w:p>
    <w:p>
      <w:pPr>
        <w:widowControl/>
        <w:spacing w:line="594" w:lineRule="exact"/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eastAsia="zh-CN"/>
        </w:rPr>
      </w:pP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/>
        </w:rPr>
        <w:t xml:space="preserve">   </w:t>
      </w: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</w:rPr>
        <w:t>（二）办理流程</w:t>
      </w: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eastAsia="zh-CN"/>
        </w:rPr>
        <w:t>。</w:t>
      </w:r>
    </w:p>
    <w:p>
      <w:pPr>
        <w:widowControl/>
        <w:spacing w:line="540" w:lineRule="exact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1.申请单位向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重庆市药品监督管理局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按要求报送申请材料。</w:t>
      </w:r>
    </w:p>
    <w:p>
      <w:pPr>
        <w:widowControl/>
        <w:spacing w:line="540" w:lineRule="exact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重庆市药品监督管理局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应当在20日内进行审查，做出是否批准的决定。批准的，发证部门应当在申请单位的《药品经营许可证》经营范围中予以注明。不予批准的，应当书面说明理由。</w:t>
      </w:r>
    </w:p>
    <w:p>
      <w:pPr>
        <w:widowControl/>
        <w:spacing w:line="594" w:lineRule="exact"/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楷体_GBK" w:hAnsi="方正楷体_GBK" w:eastAsia="方正楷体_GBK" w:cs="方正楷体_GBK"/>
          <w:color w:val="auto"/>
          <w:kern w:val="0"/>
          <w:sz w:val="32"/>
          <w:szCs w:val="32"/>
          <w:lang w:val="en-US" w:eastAsia="zh-CN"/>
        </w:rPr>
        <w:t xml:space="preserve">   （三）审批时限。</w:t>
      </w:r>
    </w:p>
    <w:p>
      <w:pPr>
        <w:widowControl/>
        <w:spacing w:line="540" w:lineRule="exact"/>
        <w:jc w:val="left"/>
        <w:rPr>
          <w:rFonts w:hint="eastAsia" w:ascii="方正仿宋_GBK" w:hAnsi="方正仿宋_GBK" w:eastAsia="方正仿宋_GBK" w:cs="方正仿宋_GBK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 xml:space="preserve">    法定时限：20个工作日；承诺时限：10个工作日。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kern w:val="0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kern w:val="0"/>
          <w:sz w:val="32"/>
          <w:szCs w:val="32"/>
          <w:lang w:eastAsia="zh-CN"/>
        </w:rPr>
        <w:t>七、监管措施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1.加大信息公示力度，向社会公开药品经营许可信息，加强社会监督。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2.加强日常监管，严格按照《反兴奋剂条例》(国务院令第398号)等有关法律法规和规章，督促蛋白同化制剂、肽类激素经营企业落实主体责任，严格落实国家药监局对高风险药品经营企业的检查频次。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3.通过开展专项检查、飞行检查等监督检查手段，对经营蛋白同化制剂、肽类激素的企业实施重点监管。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4.对企业擅自经营蛋白同化制剂、肽类激素，或未按照规定渠道供应蛋白同化制剂、肽类激素的，没收非法生产、经营的蛋白同化制剂、肽类激素和违法所得，并处罚款，情节严重的，吊销《药品经营许可证》，构成犯罪的，依法追究刑事责任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5.加强抽检监测。对监督抽检中发现的不符合规定产品和违法违规行为，依法进行查处。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6.畅通投诉举报渠道，发挥12331投诉举报职能，强化社会监督，落实药品安全社会共治。</w:t>
      </w:r>
    </w:p>
    <w:p>
      <w:pPr>
        <w:widowControl/>
        <w:spacing w:line="54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7.加强信用监管，依法依规对失信主体开展失信惩戒。</w:t>
      </w:r>
    </w:p>
    <w:sectPr>
      <w:footerReference r:id="rId3" w:type="default"/>
      <w:pgSz w:w="11906" w:h="16838"/>
      <w:pgMar w:top="1417" w:right="1474" w:bottom="1417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32</w: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19F530"/>
    <w:multiLevelType w:val="singleLevel"/>
    <w:tmpl w:val="6119F530"/>
    <w:lvl w:ilvl="0" w:tentative="0">
      <w:start w:val="6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5FDD4CAA"/>
    <w:rsid w:val="017F54C9"/>
    <w:rsid w:val="073C456C"/>
    <w:rsid w:val="1504706A"/>
    <w:rsid w:val="16226B2F"/>
    <w:rsid w:val="1AE56F68"/>
    <w:rsid w:val="2A6D0AE8"/>
    <w:rsid w:val="405255C0"/>
    <w:rsid w:val="452222DA"/>
    <w:rsid w:val="53AC6137"/>
    <w:rsid w:val="55B70B15"/>
    <w:rsid w:val="575D1604"/>
    <w:rsid w:val="59F40361"/>
    <w:rsid w:val="5C705937"/>
    <w:rsid w:val="5FDD4CAA"/>
    <w:rsid w:val="621A0401"/>
    <w:rsid w:val="67CC15DC"/>
    <w:rsid w:val="6B5A2EE6"/>
    <w:rsid w:val="703D10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2021-08-06T02:06:00Z</dcterms:created>
  <dc:creator>廖磊</dc:creator>
  <cp:lastModifiedBy>芒果麻麻</cp:lastModifiedBy>
  <dcterms:modified xsi:type="dcterms:W3CDTF">2021-08-24T03:07:57Z</dcterms:modified>
  <dc:title>附件12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57E0CEDF34A449B5847EF644A27ACBD9</vt:lpwstr>
  </property>
</Properties>
</file>