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540" w:lineRule="exact"/>
        <w:jc w:val="left"/>
        <w:rPr>
          <w:rFonts w:hint="eastAsia" w:ascii="Times New Roman" w:hAnsi="Times New Roman" w:eastAsia="黑体" w:cs="黑体"/>
          <w:kern w:val="0"/>
          <w:sz w:val="32"/>
          <w:szCs w:val="32"/>
          <w:lang w:val="en-US" w:eastAsia="zh-CN"/>
        </w:rPr>
      </w:pPr>
      <w:r>
        <w:rPr>
          <w:rFonts w:hint="eastAsia" w:ascii="Times New Roman" w:hAnsi="Times New Roman" w:eastAsia="黑体" w:cs="黑体"/>
          <w:kern w:val="0"/>
          <w:sz w:val="32"/>
          <w:szCs w:val="32"/>
          <w:lang w:val="en-US" w:eastAsia="zh-CN"/>
        </w:rPr>
        <w:t>附件2</w:t>
      </w:r>
    </w:p>
    <w:p>
      <w:pPr>
        <w:numPr>
          <w:numId w:val="0"/>
        </w:numPr>
        <w:wordWrap/>
        <w:jc w:val="center"/>
        <w:rPr>
          <w:rFonts w:hint="eastAsia" w:ascii="方正仿宋_GBK" w:hAnsi="方正仿宋_GBK" w:cs="方正仿宋_GBK"/>
          <w:color w:val="0000FF"/>
          <w:spacing w:val="-4"/>
          <w:sz w:val="32"/>
          <w:szCs w:val="32"/>
          <w:highlight w:val="none"/>
          <w:lang w:val="en-US" w:eastAsia="zh-CN"/>
        </w:rPr>
      </w:pPr>
    </w:p>
    <w:p>
      <w:pPr>
        <w:widowControl w:val="0"/>
        <w:numPr>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rPr>
      </w:pPr>
      <w:r>
        <w:rPr>
          <w:rFonts w:hint="eastAsia" w:ascii="方正小标宋_GBK" w:hAnsi="方正小标宋_GBK" w:eastAsia="方正小标宋_GBK" w:cs="方正小标宋_GBK"/>
          <w:color w:val="auto"/>
          <w:spacing w:val="-4"/>
          <w:sz w:val="44"/>
          <w:szCs w:val="44"/>
          <w:highlight w:val="none"/>
        </w:rPr>
        <w:t>医疗机构使用放射性药品（一</w:t>
      </w:r>
      <w:r>
        <w:rPr>
          <w:rFonts w:hint="eastAsia" w:ascii="方正小标宋_GBK" w:hAnsi="方正小标宋_GBK" w:eastAsia="方正小标宋_GBK" w:cs="方正小标宋_GBK"/>
          <w:color w:val="auto"/>
          <w:spacing w:val="-4"/>
          <w:sz w:val="44"/>
          <w:szCs w:val="44"/>
          <w:highlight w:val="none"/>
          <w:lang w:eastAsia="zh-CN"/>
        </w:rPr>
        <w:t>、</w:t>
      </w:r>
      <w:r>
        <w:rPr>
          <w:rFonts w:hint="eastAsia" w:ascii="方正小标宋_GBK" w:hAnsi="方正小标宋_GBK" w:eastAsia="方正小标宋_GBK" w:cs="方正小标宋_GBK"/>
          <w:color w:val="auto"/>
          <w:spacing w:val="-4"/>
          <w:sz w:val="44"/>
          <w:szCs w:val="44"/>
          <w:highlight w:val="none"/>
        </w:rPr>
        <w:t>二类）许可</w:t>
      </w:r>
    </w:p>
    <w:p>
      <w:pPr>
        <w:widowControl w:val="0"/>
        <w:numPr>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eastAsia="zh-CN"/>
        </w:rPr>
      </w:pPr>
      <w:r>
        <w:rPr>
          <w:rFonts w:hint="eastAsia" w:ascii="方正小标宋_GBK" w:hAnsi="方正小标宋_GBK" w:eastAsia="方正小标宋_GBK" w:cs="方正小标宋_GBK"/>
          <w:color w:val="auto"/>
          <w:spacing w:val="-4"/>
          <w:sz w:val="44"/>
          <w:szCs w:val="44"/>
          <w:highlight w:val="none"/>
        </w:rPr>
        <w:t>告知承诺具体管理措施</w:t>
      </w:r>
    </w:p>
    <w:p>
      <w:pPr>
        <w:widowControl/>
        <w:spacing w:line="540" w:lineRule="exact"/>
        <w:ind w:firstLine="420" w:firstLineChars="200"/>
        <w:rPr>
          <w:rFonts w:ascii="Times New Roman" w:hAnsi="Times New Roman" w:eastAsia="方正仿宋_GBK"/>
          <w:kern w:val="0"/>
        </w:rPr>
      </w:pPr>
    </w:p>
    <w:p>
      <w:pPr>
        <w:widowControl/>
        <w:spacing w:line="540" w:lineRule="exact"/>
        <w:ind w:firstLine="640" w:firstLineChars="200"/>
        <w:jc w:val="left"/>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eastAsia="zh-CN"/>
        </w:rPr>
        <w:t>一、责任处室</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行政审批处、</w:t>
      </w:r>
      <w:r>
        <w:rPr>
          <w:rFonts w:hint="eastAsia" w:ascii="方正仿宋_GBK" w:hAnsi="方正仿宋_GBK" w:eastAsia="方正仿宋_GBK" w:cs="方正仿宋_GBK"/>
          <w:kern w:val="0"/>
          <w:sz w:val="32"/>
          <w:szCs w:val="32"/>
        </w:rPr>
        <w:t>药品药</w:t>
      </w:r>
      <w:r>
        <w:rPr>
          <w:rFonts w:hint="eastAsia" w:ascii="方正仿宋_GBK" w:hAnsi="方正仿宋_GBK" w:eastAsia="方正仿宋_GBK" w:cs="方正仿宋_GBK"/>
          <w:color w:val="auto"/>
          <w:kern w:val="0"/>
          <w:sz w:val="32"/>
          <w:szCs w:val="32"/>
        </w:rPr>
        <w:t>品</w:t>
      </w:r>
      <w:r>
        <w:rPr>
          <w:rFonts w:hint="eastAsia" w:ascii="方正仿宋_GBK" w:hAnsi="方正仿宋_GBK" w:eastAsia="方正仿宋_GBK" w:cs="方正仿宋_GBK"/>
          <w:color w:val="auto"/>
          <w:kern w:val="0"/>
          <w:sz w:val="32"/>
          <w:szCs w:val="32"/>
          <w:lang w:eastAsia="zh-CN"/>
        </w:rPr>
        <w:t>生产（流通）监</w:t>
      </w:r>
      <w:r>
        <w:rPr>
          <w:rFonts w:hint="eastAsia" w:ascii="方正仿宋_GBK" w:hAnsi="方正仿宋_GBK" w:eastAsia="方正仿宋_GBK" w:cs="方正仿宋_GBK"/>
          <w:kern w:val="0"/>
          <w:sz w:val="32"/>
          <w:szCs w:val="32"/>
          <w:lang w:eastAsia="zh-CN"/>
        </w:rPr>
        <w:t>督管理处</w:t>
      </w: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二、</w:t>
      </w:r>
      <w:r>
        <w:rPr>
          <w:rFonts w:hint="eastAsia" w:ascii="方正黑体_GBK" w:hAnsi="方正黑体_GBK" w:eastAsia="方正黑体_GBK" w:cs="方正黑体_GBK"/>
          <w:kern w:val="0"/>
          <w:sz w:val="32"/>
          <w:szCs w:val="32"/>
        </w:rPr>
        <w:t>改革内容</w:t>
      </w:r>
    </w:p>
    <w:p>
      <w:pPr>
        <w:widowControl/>
        <w:ind w:firstLine="640" w:firstLineChars="200"/>
        <w:jc w:val="left"/>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w:t>
      </w:r>
      <w:r>
        <w:rPr>
          <w:rFonts w:hint="eastAsia" w:ascii="方正仿宋_GBK" w:hAnsi="方正仿宋_GBK" w:eastAsia="方正仿宋_GBK" w:cs="方正仿宋_GBK"/>
          <w:kern w:val="0"/>
          <w:sz w:val="32"/>
          <w:szCs w:val="32"/>
          <w:lang w:val="en-US" w:eastAsia="zh-CN"/>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kern w:val="0"/>
          <w:sz w:val="32"/>
          <w:szCs w:val="32"/>
        </w:rPr>
        <w:t>对“医疗机构使用放射性药品（一、二类）许可”实行告知承诺制</w:t>
      </w:r>
      <w:r>
        <w:rPr>
          <w:rFonts w:hint="eastAsia" w:ascii="方正仿宋_GBK" w:hAnsi="方正仿宋_GBK" w:eastAsia="方正仿宋_GBK" w:cs="方正仿宋_GBK"/>
          <w:kern w:val="0"/>
          <w:sz w:val="32"/>
          <w:szCs w:val="32"/>
          <w:lang w:val="en-US" w:eastAsia="zh-CN"/>
        </w:rPr>
        <w:t>度（告知承诺或一般程序由机构自愿选择），制订并公布告知承诺书格式文本，一次性告知申请人许可条件和所需材料。对申请人自愿选择告知承诺制，且信用状况满足告知承诺应具备的信用要求，其承诺符合许可条件并按要求提交材料的，当场作出许可决定。申请人不愿承诺或无法承诺的，按照一般程序办理。</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三、法律依据</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《放射性药品管理办法》</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四、许可条件</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医疗单位使用放射性药品，必须符合国家有关放射性同位素安全和防护的规定。</w:t>
      </w:r>
      <w:r>
        <w:rPr>
          <w:rFonts w:hint="eastAsia" w:ascii="方正仿宋_GBK" w:hAnsi="方正仿宋_GBK" w:eastAsia="方正仿宋_GBK" w:cs="方正仿宋_GBK"/>
          <w:sz w:val="32"/>
          <w:szCs w:val="32"/>
          <w:lang w:eastAsia="zh-CN"/>
        </w:rPr>
        <w:t>重庆市</w:t>
      </w:r>
      <w:r>
        <w:rPr>
          <w:rFonts w:hint="eastAsia" w:ascii="方正仿宋_GBK" w:hAnsi="方正仿宋_GBK" w:eastAsia="方正仿宋_GBK" w:cs="方正仿宋_GBK"/>
          <w:sz w:val="32"/>
          <w:szCs w:val="32"/>
        </w:rPr>
        <w:t>药品监督管理</w:t>
      </w:r>
      <w:r>
        <w:rPr>
          <w:rFonts w:hint="eastAsia" w:ascii="方正仿宋_GBK" w:hAnsi="方正仿宋_GBK" w:eastAsia="方正仿宋_GBK" w:cs="方正仿宋_GBK"/>
          <w:sz w:val="32"/>
          <w:szCs w:val="32"/>
          <w:lang w:eastAsia="zh-CN"/>
        </w:rPr>
        <w:t>局</w:t>
      </w:r>
      <w:r>
        <w:rPr>
          <w:rFonts w:hint="eastAsia" w:ascii="方正仿宋_GBK" w:hAnsi="方正仿宋_GBK" w:eastAsia="方正仿宋_GBK" w:cs="方正仿宋_GBK"/>
          <w:sz w:val="32"/>
          <w:szCs w:val="32"/>
        </w:rPr>
        <w:t>应当根据医疗单位核医疗技术人员的水平、设备条件，核发相应等级的《放射性药品使用许可证》，无许可证的医疗单位不得临床使用放射性药品。</w:t>
      </w:r>
    </w:p>
    <w:p>
      <w:pPr>
        <w:adjustRightInd w:val="0"/>
        <w:snapToGrid w:val="0"/>
        <w:spacing w:line="54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《放射性药品使用许可证》（第一类）许可条件：</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1．放射性药品使用范围</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使用体外诊断用各种含放射性核素的分析药盒。</w:t>
      </w:r>
    </w:p>
    <w:p>
      <w:pPr>
        <w:adjustRightInd w:val="0"/>
        <w:snapToGrid w:val="0"/>
        <w:spacing w:line="540" w:lineRule="exact"/>
        <w:ind w:firstLine="28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 人 员</w:t>
      </w:r>
    </w:p>
    <w:p>
      <w:pPr>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（1）具有医学院校毕业、经核医学专业培训半年以上，并获中级以上专业技术职务的人员；</w:t>
      </w:r>
    </w:p>
    <w:p>
      <w:pPr>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（2）具有中专以上文化程度、经核医学（放免）专业培训，从事本专业三年以上的技术人员；</w:t>
      </w:r>
    </w:p>
    <w:p>
      <w:pPr>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（3）操作放射性物质的人员应持有卫生行政部门发给的《放射工作人员证》。</w:t>
      </w:r>
    </w:p>
    <w:p>
      <w:pPr>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仪器与设备</w:t>
      </w:r>
    </w:p>
    <w:p>
      <w:pPr>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（1）具有表面沾污监测仪、加样器、</w:t>
      </w:r>
      <w:r>
        <w:rPr>
          <w:rFonts w:hint="eastAsia" w:ascii="方正仿宋_GBK" w:hAnsi="方正仿宋_GBK" w:eastAsia="方正仿宋_GBK" w:cs="方正仿宋_GBK"/>
          <w:sz w:val="32"/>
          <w:szCs w:val="32"/>
        </w:rPr>
        <w:sym w:font="Symbol" w:char="F067"/>
      </w:r>
      <w:r>
        <w:rPr>
          <w:rFonts w:hint="eastAsia" w:ascii="方正仿宋_GBK" w:hAnsi="方正仿宋_GBK" w:eastAsia="方正仿宋_GBK" w:cs="方正仿宋_GBK"/>
          <w:sz w:val="32"/>
          <w:szCs w:val="32"/>
        </w:rPr>
        <w:t>计数器或液体闪烁计数器、恒温水浴箱、离心机、冰箱等；</w:t>
      </w:r>
    </w:p>
    <w:p>
      <w:pPr>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（2）具有满足辐射防护要求的储存、操作、废弃物处置等设备；</w:t>
      </w:r>
    </w:p>
    <w:p>
      <w:pPr>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（3）具有洗刷、清洁等器具和设备。</w:t>
      </w:r>
    </w:p>
    <w:p>
      <w:pPr>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房屋设施</w:t>
      </w:r>
    </w:p>
    <w:p>
      <w:pPr>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（1）具备临床检验用的实验室, 并且内墙表面平整、光洁，操作区的地面应易于去污、清洁；</w:t>
      </w:r>
    </w:p>
    <w:p>
      <w:pPr>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（2）实验室设通风设施，具有器具洗刷和卫生清洁设施；</w:t>
      </w:r>
    </w:p>
    <w:p>
      <w:pPr>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（3）具备防昆虫和防尘设施；</w:t>
      </w:r>
    </w:p>
    <w:p>
      <w:pPr>
        <w:adjustRightInd w:val="0"/>
        <w:snapToGrid w:val="0"/>
        <w:spacing w:line="540" w:lineRule="exact"/>
        <w:ind w:firstLine="524"/>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（4）具有满足辐射防护要求的存放含放射性核素的分析药盒和废弃污物的设施；</w:t>
      </w:r>
    </w:p>
    <w:p>
      <w:pPr>
        <w:adjustRightInd w:val="0"/>
        <w:snapToGrid w:val="0"/>
        <w:spacing w:line="540" w:lineRule="exact"/>
        <w:ind w:firstLine="524"/>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（5）具有安全防盗设施。</w:t>
      </w:r>
    </w:p>
    <w:p>
      <w:pPr>
        <w:adjustRightInd w:val="0"/>
        <w:snapToGrid w:val="0"/>
        <w:spacing w:line="54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《放射性药品使用许可证》（第二类）许可条件：</w:t>
      </w:r>
    </w:p>
    <w:p>
      <w:pPr>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放射性药品使用范围</w:t>
      </w:r>
    </w:p>
    <w:p>
      <w:pPr>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（1）体内诊断、治疗用一般放射性药品(系指根据诊断、治疗需要，对购入的放射性药品进行简单的稀释或不稀释用于病人的品种。如碘[</w:t>
      </w:r>
      <w:r>
        <w:rPr>
          <w:rFonts w:hint="eastAsia" w:ascii="方正仿宋_GBK" w:hAnsi="方正仿宋_GBK" w:eastAsia="方正仿宋_GBK" w:cs="方正仿宋_GBK"/>
          <w:sz w:val="32"/>
          <w:szCs w:val="32"/>
          <w:vertAlign w:val="superscript"/>
        </w:rPr>
        <w:t>131</w:t>
      </w:r>
      <w:r>
        <w:rPr>
          <w:rFonts w:hint="eastAsia" w:ascii="方正仿宋_GBK" w:hAnsi="方正仿宋_GBK" w:eastAsia="方正仿宋_GBK" w:cs="方正仿宋_GBK"/>
          <w:sz w:val="32"/>
          <w:szCs w:val="32"/>
        </w:rPr>
        <w:t>I]化钠口服溶液、邻碘[</w:t>
      </w:r>
      <w:r>
        <w:rPr>
          <w:rFonts w:hint="eastAsia" w:ascii="方正仿宋_GBK" w:hAnsi="方正仿宋_GBK" w:eastAsia="方正仿宋_GBK" w:cs="方正仿宋_GBK"/>
          <w:sz w:val="32"/>
          <w:szCs w:val="32"/>
          <w:vertAlign w:val="superscript"/>
        </w:rPr>
        <w:t>131</w:t>
      </w:r>
      <w:r>
        <w:rPr>
          <w:rFonts w:hint="eastAsia" w:ascii="方正仿宋_GBK" w:hAnsi="方正仿宋_GBK" w:eastAsia="方正仿宋_GBK" w:cs="方正仿宋_GBK"/>
          <w:sz w:val="32"/>
          <w:szCs w:val="32"/>
        </w:rPr>
        <w:t>I]马尿酸钠注射液、氯化亚铊[</w:t>
      </w:r>
      <w:r>
        <w:rPr>
          <w:rFonts w:hint="eastAsia" w:ascii="方正仿宋_GBK" w:hAnsi="方正仿宋_GBK" w:eastAsia="方正仿宋_GBK" w:cs="方正仿宋_GBK"/>
          <w:sz w:val="32"/>
          <w:szCs w:val="32"/>
          <w:vertAlign w:val="superscript"/>
        </w:rPr>
        <w:t>201</w:t>
      </w:r>
      <w:r>
        <w:rPr>
          <w:rFonts w:hint="eastAsia" w:ascii="方正仿宋_GBK" w:hAnsi="方正仿宋_GBK" w:eastAsia="方正仿宋_GBK" w:cs="方正仿宋_GBK"/>
          <w:sz w:val="32"/>
          <w:szCs w:val="32"/>
        </w:rPr>
        <w:t>T1]注射液等)；</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（2）即时标记放射性药品生产企业提供的已配制完成的含锝[</w:t>
      </w:r>
      <w:r>
        <w:rPr>
          <w:rFonts w:hint="eastAsia" w:ascii="方正仿宋_GBK" w:hAnsi="方正仿宋_GBK" w:eastAsia="方正仿宋_GBK" w:cs="方正仿宋_GBK"/>
          <w:sz w:val="32"/>
          <w:szCs w:val="32"/>
          <w:vertAlign w:val="superscript"/>
        </w:rPr>
        <w:t>99m</w:t>
      </w:r>
      <w:r>
        <w:rPr>
          <w:rFonts w:hint="eastAsia" w:ascii="方正仿宋_GBK" w:hAnsi="方正仿宋_GBK" w:eastAsia="方正仿宋_GBK" w:cs="方正仿宋_GBK"/>
          <w:sz w:val="32"/>
          <w:szCs w:val="32"/>
        </w:rPr>
        <w:t>Tc]注射液。</w:t>
      </w:r>
    </w:p>
    <w:p>
      <w:pPr>
        <w:adjustRightInd w:val="0"/>
        <w:snapToGrid w:val="0"/>
        <w:spacing w:line="540" w:lineRule="exact"/>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 人员  </w:t>
      </w:r>
    </w:p>
    <w:p>
      <w:pPr>
        <w:adjustRightInd w:val="0"/>
        <w:snapToGrid w:val="0"/>
        <w:spacing w:line="540" w:lineRule="exact"/>
        <w:ind w:firstLine="56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具有取得医师执业证书，经核医学专业培训1年以上，并获中级以上专业技术职务的人员；</w:t>
      </w:r>
    </w:p>
    <w:p>
      <w:pPr>
        <w:adjustRightInd w:val="0"/>
        <w:snapToGrid w:val="0"/>
        <w:spacing w:line="540" w:lineRule="exact"/>
        <w:ind w:firstLine="56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从事放射性药品治疗的医疗机构，还必须配备核医学副高级以上专业技术职务的人员；</w:t>
      </w:r>
    </w:p>
    <w:p>
      <w:pPr>
        <w:adjustRightInd w:val="0"/>
        <w:snapToGrid w:val="0"/>
        <w:spacing w:line="540" w:lineRule="exact"/>
        <w:ind w:firstLine="56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（2）操作放射性物质的人员应持有卫生行政部门发给的《放射工作人员证》。</w:t>
      </w:r>
    </w:p>
    <w:p>
      <w:pPr>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仪器与设备</w:t>
      </w:r>
    </w:p>
    <w:p>
      <w:pPr>
        <w:tabs>
          <w:tab w:val="left" w:pos="720"/>
        </w:tabs>
        <w:adjustRightInd w:val="0"/>
        <w:snapToGrid w:val="0"/>
        <w:spacing w:line="540" w:lineRule="exact"/>
        <w:ind w:firstLine="537" w:firstLineChars="168"/>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（1）具有表面沾污监测仪；</w:t>
      </w:r>
    </w:p>
    <w:p>
      <w:pPr>
        <w:adjustRightInd w:val="0"/>
        <w:snapToGrid w:val="0"/>
        <w:spacing w:line="540" w:lineRule="exact"/>
        <w:ind w:firstLine="524"/>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（2）配备满足辐射防护要求的储存、操作、废弃物处置设备；</w:t>
      </w:r>
    </w:p>
    <w:p>
      <w:pPr>
        <w:adjustRightInd w:val="0"/>
        <w:snapToGrid w:val="0"/>
        <w:spacing w:line="540" w:lineRule="exact"/>
        <w:ind w:firstLine="524"/>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（3）开展体内放射性药品诊断：必须配备经标定的活度计(井型电离室)、 功能测定仪(甲功仪或肾图仪)或显像设备(</w:t>
      </w:r>
      <w:r>
        <w:rPr>
          <w:rFonts w:hint="eastAsia" w:ascii="方正仿宋_GBK" w:hAnsi="方正仿宋_GBK" w:eastAsia="方正仿宋_GBK" w:cs="方正仿宋_GBK"/>
          <w:sz w:val="32"/>
          <w:szCs w:val="32"/>
        </w:rPr>
        <w:sym w:font="Symbol" w:char="F067"/>
      </w:r>
      <w:r>
        <w:rPr>
          <w:rFonts w:hint="eastAsia" w:ascii="方正仿宋_GBK" w:hAnsi="方正仿宋_GBK" w:eastAsia="方正仿宋_GBK" w:cs="方正仿宋_GBK"/>
          <w:sz w:val="32"/>
          <w:szCs w:val="32"/>
        </w:rPr>
        <w:t>闪烁照相机或单光子发射计算机断层仪)；</w:t>
      </w:r>
    </w:p>
    <w:p>
      <w:pPr>
        <w:tabs>
          <w:tab w:val="left" w:pos="720"/>
        </w:tabs>
        <w:adjustRightInd w:val="0"/>
        <w:snapToGrid w:val="0"/>
        <w:spacing w:line="540" w:lineRule="exact"/>
        <w:ind w:firstLine="552"/>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开展体内放射性药品治疗：必须配备经标定的活度计（井型电离室）、显像设备（</w:t>
      </w:r>
      <w:r>
        <w:rPr>
          <w:rFonts w:hint="eastAsia" w:ascii="方正仿宋_GBK" w:hAnsi="方正仿宋_GBK" w:eastAsia="方正仿宋_GBK" w:cs="方正仿宋_GBK"/>
          <w:sz w:val="32"/>
          <w:szCs w:val="32"/>
        </w:rPr>
        <w:sym w:font="Symbol" w:char="F067"/>
      </w:r>
      <w:r>
        <w:rPr>
          <w:rFonts w:hint="eastAsia" w:ascii="方正仿宋_GBK" w:hAnsi="方正仿宋_GBK" w:eastAsia="方正仿宋_GBK" w:cs="方正仿宋_GBK"/>
          <w:sz w:val="32"/>
          <w:szCs w:val="32"/>
        </w:rPr>
        <w:t>闪烁照相机或单光子发射计算机断层仪）；开展甲状腺疾病治疗的必须配备甲功仪。</w:t>
      </w:r>
    </w:p>
    <w:p>
      <w:pPr>
        <w:tabs>
          <w:tab w:val="left" w:pos="720"/>
        </w:tabs>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房屋设施</w:t>
      </w:r>
    </w:p>
    <w:p>
      <w:pPr>
        <w:tabs>
          <w:tab w:val="left" w:pos="720"/>
        </w:tabs>
        <w:adjustRightInd w:val="0"/>
        <w:snapToGrid w:val="0"/>
        <w:spacing w:line="540" w:lineRule="exact"/>
        <w:ind w:firstLine="524"/>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（1）具有与诊断和治疗相适应的实验室和病房；使用含等效活度1.11GBq以上的碘[</w:t>
      </w:r>
      <w:r>
        <w:rPr>
          <w:rFonts w:hint="eastAsia" w:ascii="方正仿宋_GBK" w:hAnsi="方正仿宋_GBK" w:eastAsia="方正仿宋_GBK" w:cs="方正仿宋_GBK"/>
          <w:sz w:val="32"/>
          <w:szCs w:val="32"/>
          <w:vertAlign w:val="superscript"/>
        </w:rPr>
        <w:t>131</w:t>
      </w:r>
      <w:r>
        <w:rPr>
          <w:rFonts w:hint="eastAsia" w:ascii="方正仿宋_GBK" w:hAnsi="方正仿宋_GBK" w:eastAsia="方正仿宋_GBK" w:cs="方正仿宋_GBK"/>
          <w:sz w:val="32"/>
          <w:szCs w:val="32"/>
        </w:rPr>
        <w:t>I]或其它核素放射性药品治疗的医疗机构应有专用病房；</w:t>
      </w:r>
    </w:p>
    <w:p>
      <w:pPr>
        <w:tabs>
          <w:tab w:val="left" w:pos="720"/>
        </w:tabs>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（2）实验室内墙壁表面平整、光洁，操作区的地面应易于去污、清洁；</w:t>
      </w:r>
    </w:p>
    <w:p>
      <w:pPr>
        <w:tabs>
          <w:tab w:val="left" w:pos="720"/>
        </w:tabs>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（3）实验室内设通风橱；具有放射性药品用具的洗刷和消毒设施等；</w:t>
      </w:r>
    </w:p>
    <w:p>
      <w:pPr>
        <w:tabs>
          <w:tab w:val="left" w:pos="720"/>
        </w:tabs>
        <w:adjustRightInd w:val="0"/>
        <w:snapToGrid w:val="0"/>
        <w:spacing w:line="54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（4）具备防昆虫和防尘设施；</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（5）具有满足辐射防护要求的存放放射性药品和废弃污物的设施；</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（6）具有安全防盗设施。</w:t>
      </w:r>
    </w:p>
    <w:p>
      <w:pPr>
        <w:widowControl/>
        <w:spacing w:line="540" w:lineRule="exact"/>
        <w:ind w:firstLine="640" w:firstLineChars="200"/>
        <w:jc w:val="left"/>
        <w:rPr>
          <w:rFonts w:hint="eastAsia" w:ascii="方正黑体_GBK" w:hAnsi="方正黑体_GBK" w:eastAsia="方正黑体_GBK" w:cs="方正黑体_GBK"/>
          <w:color w:val="FF0000"/>
          <w:kern w:val="0"/>
          <w:sz w:val="32"/>
          <w:szCs w:val="32"/>
          <w:lang w:val="en-US" w:eastAsia="zh-CN"/>
        </w:rPr>
      </w:pPr>
      <w:r>
        <w:rPr>
          <w:rFonts w:hint="eastAsia" w:ascii="方正黑体_GBK" w:hAnsi="方正黑体_GBK" w:eastAsia="方正黑体_GBK" w:cs="方正黑体_GBK"/>
          <w:kern w:val="0"/>
          <w:sz w:val="32"/>
          <w:szCs w:val="32"/>
          <w:lang w:eastAsia="zh-CN"/>
        </w:rPr>
        <w:t>五、材料要求</w:t>
      </w:r>
      <w:r>
        <w:rPr>
          <w:rFonts w:hint="eastAsia" w:ascii="方正黑体_GBK" w:hAnsi="方正黑体_GBK" w:eastAsia="方正黑体_GBK" w:cs="方正黑体_GBK"/>
          <w:kern w:val="0"/>
          <w:sz w:val="32"/>
          <w:szCs w:val="32"/>
          <w:lang w:val="en-US" w:eastAsia="zh-CN"/>
        </w:rPr>
        <w:t xml:space="preserve"> </w:t>
      </w:r>
      <w:r>
        <w:rPr>
          <w:rFonts w:hint="eastAsia" w:ascii="方正黑体_GBK" w:hAnsi="方正黑体_GBK" w:eastAsia="方正黑体_GBK" w:cs="方正黑体_GBK"/>
          <w:color w:val="FF0000"/>
          <w:kern w:val="0"/>
          <w:sz w:val="32"/>
          <w:szCs w:val="32"/>
          <w:lang w:val="en-US" w:eastAsia="zh-CN"/>
        </w:rPr>
        <w:t xml:space="preserve"> </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《放射性药品使用许可证核换发申请表》</w:t>
      </w:r>
      <w:r>
        <w:rPr>
          <w:rFonts w:hint="eastAsia" w:ascii="方正仿宋_GBK" w:hAnsi="方正仿宋_GBK" w:eastAsia="方正仿宋_GBK" w:cs="方正仿宋_GBK"/>
          <w:sz w:val="32"/>
          <w:szCs w:val="32"/>
          <w:lang w:eastAsia="zh-CN"/>
        </w:rPr>
        <w:t>；</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2</w:t>
      </w:r>
      <w:r>
        <w:rPr>
          <w:rFonts w:hint="eastAsia" w:ascii="方正仿宋_GBK" w:hAnsi="方正仿宋_GBK" w:eastAsia="方正仿宋_GBK" w:cs="方正仿宋_GBK"/>
          <w:sz w:val="32"/>
          <w:szCs w:val="32"/>
        </w:rPr>
        <w:t>.《放射性药品使用许可证》正、副本原件</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新申请的</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不提供</w:t>
      </w:r>
      <w:r>
        <w:rPr>
          <w:rFonts w:hint="eastAsia" w:ascii="方正仿宋_GBK" w:hAnsi="方正仿宋_GBK" w:eastAsia="方正仿宋_GBK" w:cs="方正仿宋_GBK"/>
          <w:sz w:val="32"/>
          <w:szCs w:val="32"/>
          <w:lang w:eastAsia="zh-CN"/>
        </w:rPr>
        <w:t>）；</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3</w:t>
      </w:r>
      <w:r>
        <w:rPr>
          <w:rFonts w:hint="eastAsia" w:ascii="方正仿宋_GBK" w:hAnsi="方正仿宋_GBK" w:eastAsia="方正仿宋_GBK" w:cs="方正仿宋_GBK"/>
          <w:sz w:val="32"/>
          <w:szCs w:val="32"/>
        </w:rPr>
        <w:t>.《放射性药品使用许可证》正、副本复印件</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新申请的</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不提供</w:t>
      </w:r>
      <w:r>
        <w:rPr>
          <w:rFonts w:hint="eastAsia" w:ascii="方正仿宋_GBK" w:hAnsi="方正仿宋_GBK" w:eastAsia="方正仿宋_GBK" w:cs="方正仿宋_GBK"/>
          <w:sz w:val="32"/>
          <w:szCs w:val="32"/>
          <w:lang w:eastAsia="zh-CN"/>
        </w:rPr>
        <w:t>）；</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4</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《医疗机构执业许可证》正、副本全本复印件</w:t>
      </w:r>
      <w:r>
        <w:rPr>
          <w:rFonts w:hint="eastAsia" w:ascii="方正仿宋_GBK" w:hAnsi="方正仿宋_GBK" w:eastAsia="方正仿宋_GBK" w:cs="方正仿宋_GBK"/>
          <w:sz w:val="32"/>
          <w:szCs w:val="32"/>
          <w:lang w:eastAsia="zh-CN"/>
        </w:rPr>
        <w:t>；</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5</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《放射诊疗许可证》正、副本全本复印件</w:t>
      </w:r>
      <w:r>
        <w:rPr>
          <w:rFonts w:hint="eastAsia" w:ascii="方正仿宋_GBK" w:hAnsi="方正仿宋_GBK" w:eastAsia="方正仿宋_GBK" w:cs="方正仿宋_GBK"/>
          <w:sz w:val="32"/>
          <w:szCs w:val="32"/>
          <w:lang w:eastAsia="zh-CN"/>
        </w:rPr>
        <w:t>；</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6</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《辐射安全许可证》正、副本全本复印件</w:t>
      </w:r>
      <w:r>
        <w:rPr>
          <w:rFonts w:hint="eastAsia" w:ascii="方正仿宋_GBK" w:hAnsi="方正仿宋_GBK" w:eastAsia="方正仿宋_GBK" w:cs="方正仿宋_GBK"/>
          <w:sz w:val="32"/>
          <w:szCs w:val="32"/>
          <w:lang w:eastAsia="zh-CN"/>
        </w:rPr>
        <w:t>；</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7</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放射性药品使用（配制）场所的基本情况说明</w:t>
      </w:r>
      <w:r>
        <w:rPr>
          <w:rFonts w:hint="eastAsia" w:ascii="方正仿宋_GBK" w:hAnsi="方正仿宋_GBK" w:eastAsia="方正仿宋_GBK" w:cs="方正仿宋_GBK"/>
          <w:sz w:val="32"/>
          <w:szCs w:val="32"/>
          <w:lang w:eastAsia="zh-CN"/>
        </w:rPr>
        <w:t>；</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8</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医疗单位总平面图</w:t>
      </w:r>
      <w:r>
        <w:rPr>
          <w:rFonts w:hint="eastAsia" w:ascii="方正仿宋_GBK" w:hAnsi="方正仿宋_GBK" w:eastAsia="方正仿宋_GBK" w:cs="方正仿宋_GBK"/>
          <w:sz w:val="32"/>
          <w:szCs w:val="32"/>
          <w:lang w:eastAsia="zh-CN"/>
        </w:rPr>
        <w:t>；</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9</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使用（配制）场所布局平面图</w:t>
      </w:r>
      <w:r>
        <w:rPr>
          <w:rFonts w:hint="eastAsia" w:ascii="方正仿宋_GBK" w:hAnsi="方正仿宋_GBK" w:eastAsia="方正仿宋_GBK" w:cs="方正仿宋_GBK"/>
          <w:sz w:val="32"/>
          <w:szCs w:val="32"/>
          <w:lang w:eastAsia="zh-CN"/>
        </w:rPr>
        <w:t>；</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10.</w:t>
      </w:r>
      <w:r>
        <w:rPr>
          <w:rFonts w:hint="eastAsia" w:ascii="方正仿宋_GBK" w:hAnsi="方正仿宋_GBK" w:eastAsia="方正仿宋_GBK" w:cs="方正仿宋_GBK"/>
          <w:sz w:val="32"/>
          <w:szCs w:val="32"/>
        </w:rPr>
        <w:t>一、二类放射性药品使用许可质量管理情况的自查报告，自查内容见《放射性药品使用许可证》许可条件对照表</w:t>
      </w:r>
      <w:r>
        <w:rPr>
          <w:rFonts w:hint="eastAsia" w:ascii="方正仿宋_GBK" w:hAnsi="方正仿宋_GBK" w:eastAsia="方正仿宋_GBK" w:cs="方正仿宋_GBK"/>
          <w:sz w:val="32"/>
          <w:szCs w:val="32"/>
          <w:lang w:eastAsia="zh-CN"/>
        </w:rPr>
        <w:t>；</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1</w:t>
      </w: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经办人身份证复印件</w:t>
      </w:r>
      <w:r>
        <w:rPr>
          <w:rFonts w:hint="eastAsia" w:ascii="方正仿宋_GBK" w:hAnsi="方正仿宋_GBK" w:eastAsia="方正仿宋_GBK" w:cs="方正仿宋_GBK"/>
          <w:sz w:val="32"/>
          <w:szCs w:val="32"/>
          <w:lang w:eastAsia="zh-CN"/>
        </w:rPr>
        <w:t>；</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2.《授权委托书》</w:t>
      </w:r>
      <w:r>
        <w:rPr>
          <w:rFonts w:hint="eastAsia" w:ascii="方正仿宋_GBK" w:hAnsi="方正仿宋_GBK" w:eastAsia="方正仿宋_GBK" w:cs="方正仿宋_GBK"/>
          <w:sz w:val="32"/>
          <w:szCs w:val="32"/>
          <w:lang w:eastAsia="zh-CN"/>
        </w:rPr>
        <w:t>；</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13.</w:t>
      </w:r>
      <w:r>
        <w:rPr>
          <w:rFonts w:hint="eastAsia" w:ascii="方正仿宋_GBK" w:hAnsi="方正仿宋_GBK" w:eastAsia="方正仿宋_GBK" w:cs="方正仿宋_GBK"/>
          <w:sz w:val="32"/>
          <w:szCs w:val="32"/>
        </w:rPr>
        <w:t>《放射性药品使用许可证》(一、二类）告知承诺书</w:t>
      </w:r>
      <w:r>
        <w:rPr>
          <w:rFonts w:hint="eastAsia" w:ascii="方正仿宋_GBK" w:hAnsi="方正仿宋_GBK" w:eastAsia="方正仿宋_GBK" w:cs="方正仿宋_GBK"/>
          <w:sz w:val="32"/>
          <w:szCs w:val="32"/>
          <w:lang w:eastAsia="zh-CN"/>
        </w:rPr>
        <w:t>（见附件）。</w:t>
      </w:r>
    </w:p>
    <w:p>
      <w:pPr>
        <w:widowControl/>
        <w:numPr>
          <w:ilvl w:val="0"/>
          <w:numId w:val="1"/>
        </w:numPr>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程序环节</w:t>
      </w:r>
    </w:p>
    <w:p>
      <w:pPr>
        <w:tabs>
          <w:tab w:val="left" w:pos="720"/>
        </w:tabs>
        <w:adjustRightInd w:val="0"/>
        <w:snapToGrid w:val="0"/>
        <w:spacing w:line="540" w:lineRule="exact"/>
        <w:ind w:firstLine="555"/>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（一）审批层级</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1.受理机构: </w:t>
      </w:r>
      <w:r>
        <w:rPr>
          <w:rFonts w:hint="eastAsia" w:ascii="方正仿宋_GBK" w:hAnsi="方正仿宋_GBK" w:eastAsia="方正仿宋_GBK" w:cs="方正仿宋_GBK"/>
          <w:sz w:val="32"/>
          <w:szCs w:val="32"/>
          <w:lang w:eastAsia="zh-CN"/>
        </w:rPr>
        <w:t>重庆市药品监督管理局</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2.决定机构: </w:t>
      </w:r>
      <w:r>
        <w:rPr>
          <w:rFonts w:hint="eastAsia" w:ascii="方正仿宋_GBK" w:hAnsi="方正仿宋_GBK" w:eastAsia="方正仿宋_GBK" w:cs="方正仿宋_GBK"/>
          <w:sz w:val="32"/>
          <w:szCs w:val="32"/>
          <w:lang w:eastAsia="zh-CN"/>
        </w:rPr>
        <w:t>重庆市药品监督管理局</w:t>
      </w:r>
    </w:p>
    <w:p>
      <w:pPr>
        <w:tabs>
          <w:tab w:val="left" w:pos="720"/>
        </w:tabs>
        <w:adjustRightInd w:val="0"/>
        <w:snapToGrid w:val="0"/>
        <w:spacing w:line="540" w:lineRule="exact"/>
        <w:ind w:firstLine="555"/>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（二）办理流程</w:t>
      </w:r>
      <w:r>
        <w:rPr>
          <w:rFonts w:hint="eastAsia" w:ascii="方正楷体_GBK" w:hAnsi="方正楷体_GBK" w:eastAsia="方正楷体_GBK" w:cs="方正楷体_GBK"/>
          <w:sz w:val="32"/>
          <w:szCs w:val="32"/>
          <w:lang w:eastAsia="zh-CN"/>
        </w:rPr>
        <w:t>。</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 重庆市药品监督管理局对提交的申请，在材料齐全且承诺符合要求的前提下，当场作出准予许可的决定。</w:t>
      </w:r>
    </w:p>
    <w:p>
      <w:pPr>
        <w:tabs>
          <w:tab w:val="left" w:pos="720"/>
        </w:tabs>
        <w:adjustRightInd w:val="0"/>
        <w:snapToGrid w:val="0"/>
        <w:spacing w:line="540" w:lineRule="exact"/>
        <w:ind w:firstLine="555"/>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（三）审批时限</w:t>
      </w:r>
    </w:p>
    <w:p>
      <w:pPr>
        <w:tabs>
          <w:tab w:val="left" w:pos="720"/>
        </w:tabs>
        <w:adjustRightInd w:val="0"/>
        <w:snapToGrid w:val="0"/>
        <w:spacing w:line="540" w:lineRule="exact"/>
        <w:ind w:firstLine="555"/>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 当场办结。</w:t>
      </w:r>
    </w:p>
    <w:p>
      <w:pPr>
        <w:widowControl/>
        <w:spacing w:line="540" w:lineRule="exact"/>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val="en-US" w:eastAsia="zh-CN"/>
        </w:rPr>
        <w:t xml:space="preserve">    </w:t>
      </w:r>
      <w:r>
        <w:rPr>
          <w:rFonts w:hint="eastAsia" w:ascii="方正黑体_GBK" w:hAnsi="方正黑体_GBK" w:eastAsia="方正黑体_GBK" w:cs="方正黑体_GBK"/>
          <w:kern w:val="0"/>
          <w:sz w:val="32"/>
          <w:szCs w:val="32"/>
          <w:lang w:eastAsia="zh-CN"/>
        </w:rPr>
        <w:t>七、</w:t>
      </w:r>
      <w:r>
        <w:rPr>
          <w:rFonts w:hint="eastAsia" w:ascii="方正黑体_GBK" w:hAnsi="方正黑体_GBK" w:eastAsia="方正黑体_GBK" w:cs="方正黑体_GBK"/>
          <w:kern w:val="0"/>
          <w:sz w:val="32"/>
          <w:szCs w:val="32"/>
        </w:rPr>
        <w:t>监管措施</w:t>
      </w:r>
    </w:p>
    <w:p>
      <w:pPr>
        <w:widowControl w:val="0"/>
        <w:numPr>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通过实行告知承诺的方式作出准予行政审批的决定后3个月内，对申请人的承诺内容是否属实，按照相关法律法规组织监督检查。检查中发现实际情况与承诺内容不符的，责令限期整改；经整改后仍不符合要求的，依法撤销行政许可决定，并依法给予从重处罚。虚假承诺或承诺内容严重不实的情形下，申请机构基于本次行政许可取得的利益不受保护，并承担相应法律责任。</w:t>
      </w:r>
    </w:p>
    <w:p>
      <w:pPr>
        <w:widowControl w:val="0"/>
        <w:numPr>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对通过告知承诺方式取得许可资格的主体，按照《放射性药品使用许可证》（一、二类）许可条件对照表进行监督检查，每年对已取得《放射性药品使用许可证》（一、二类）的医疗机构进行不少于1次监督检查。</w:t>
      </w:r>
    </w:p>
    <w:p>
      <w:pPr>
        <w:widowControl w:val="0"/>
        <w:numPr>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3.完善药监、卫生健康、生态环境等部门间的协调配合机制，及时向社会公开许可有关信息，加强社会监督。</w:t>
      </w:r>
    </w:p>
    <w:p>
      <w:pPr>
        <w:widowControl/>
        <w:spacing w:line="540" w:lineRule="exact"/>
        <w:jc w:val="left"/>
        <w:rPr>
          <w:rFonts w:ascii="Times New Roman" w:hAnsi="Times New Roman" w:eastAsia="仿宋_GB2312"/>
          <w:kern w:val="0"/>
          <w:sz w:val="32"/>
          <w:szCs w:val="32"/>
        </w:rPr>
      </w:pPr>
    </w:p>
    <w:p>
      <w:pPr>
        <w:widowControl/>
        <w:spacing w:line="540" w:lineRule="exact"/>
        <w:jc w:val="left"/>
        <w:rPr>
          <w:rFonts w:ascii="Times New Roman" w:hAnsi="Times New Roman" w:eastAsia="仿宋_GB2312"/>
          <w:kern w:val="0"/>
          <w:sz w:val="32"/>
          <w:szCs w:val="32"/>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pPr>
    </w:p>
    <w:p>
      <w:pPr>
        <w:widowControl/>
        <w:spacing w:line="540" w:lineRule="exact"/>
        <w:jc w:val="left"/>
        <w:rPr>
          <w:rFonts w:hint="eastAsia" w:ascii="Times New Roman" w:hAnsi="Times New Roman" w:eastAsia="仿宋_GB2312"/>
          <w:kern w:val="0"/>
          <w:sz w:val="32"/>
          <w:szCs w:val="32"/>
          <w:lang w:val="en-US" w:eastAsia="zh-CN"/>
        </w:rPr>
        <w:sectPr>
          <w:footerReference r:id="rId4" w:type="default"/>
          <w:pgSz w:w="11906" w:h="16838"/>
          <w:pgMar w:top="1417" w:right="1474" w:bottom="1417" w:left="1474" w:header="851" w:footer="992" w:gutter="0"/>
          <w:cols w:space="720" w:num="1"/>
          <w:docGrid w:type="lines" w:linePitch="312" w:charSpace="0"/>
        </w:sectPr>
      </w:pPr>
    </w:p>
    <w:p>
      <w:pPr>
        <w:widowControl/>
        <w:spacing w:line="540" w:lineRule="exact"/>
        <w:jc w:val="left"/>
        <w:rPr>
          <w:rFonts w:hint="eastAsia" w:ascii="Times New Roman" w:hAnsi="Times New Roman" w:eastAsia="仿宋_GB2312"/>
          <w:kern w:val="0"/>
          <w:sz w:val="32"/>
          <w:szCs w:val="32"/>
          <w:lang w:val="en-US" w:eastAsia="zh-CN"/>
        </w:rPr>
      </w:pPr>
      <w:r>
        <w:rPr>
          <w:rFonts w:hint="eastAsia" w:ascii="方正仿宋_GBK" w:hAnsi="方正仿宋_GBK" w:eastAsia="方正仿宋_GBK" w:cs="方正仿宋_GBK"/>
          <w:kern w:val="0"/>
          <w:sz w:val="32"/>
          <w:szCs w:val="32"/>
          <w:lang w:val="en-US" w:eastAsia="zh-CN"/>
        </w:rPr>
        <w:t>附件</w:t>
      </w:r>
    </w:p>
    <w:p>
      <w:pPr>
        <w:widowControl/>
        <w:wordWrap/>
        <w:adjustRightInd/>
        <w:snapToGrid w:val="0"/>
        <w:spacing w:line="240" w:lineRule="auto"/>
        <w:ind w:left="0" w:leftChars="0" w:right="0" w:firstLine="0" w:firstLineChars="0"/>
        <w:jc w:val="center"/>
        <w:textAlignment w:val="auto"/>
        <w:outlineLvl w:val="9"/>
        <w:rPr>
          <w:rFonts w:ascii="方正小标宋_GBK" w:hAnsi="方正小标宋_GBK" w:eastAsia="方正小标宋_GBK" w:cs="方正小标宋_GBK"/>
          <w:spacing w:val="57"/>
          <w:kern w:val="0"/>
          <w:sz w:val="44"/>
          <w:szCs w:val="44"/>
        </w:rPr>
      </w:pPr>
      <w:r>
        <w:rPr>
          <w:rFonts w:hint="eastAsia" w:ascii="方正小标宋_GBK" w:hAnsi="方正小标宋_GBK" w:eastAsia="方正小标宋_GBK" w:cs="方正小标宋_GBK"/>
          <w:spacing w:val="57"/>
          <w:kern w:val="0"/>
          <w:sz w:val="44"/>
          <w:szCs w:val="44"/>
        </w:rPr>
        <w:t>重庆市药品监督管理局</w:t>
      </w:r>
    </w:p>
    <w:p>
      <w:pPr>
        <w:widowControl/>
        <w:wordWrap/>
        <w:adjustRightInd/>
        <w:snapToGrid w:val="0"/>
        <w:spacing w:line="240" w:lineRule="auto"/>
        <w:ind w:left="0" w:leftChars="0" w:right="0" w:firstLine="0" w:firstLineChars="0"/>
        <w:jc w:val="center"/>
        <w:textAlignment w:val="auto"/>
        <w:outlineLvl w:val="9"/>
        <w:rPr>
          <w:rFonts w:ascii="方正小标宋_GBK" w:hAnsi="方正小标宋_GBK" w:eastAsia="方正小标宋_GBK" w:cs="方正小标宋_GBK"/>
          <w:spacing w:val="57"/>
          <w:kern w:val="0"/>
          <w:sz w:val="44"/>
          <w:szCs w:val="44"/>
        </w:rPr>
      </w:pPr>
      <w:r>
        <w:rPr>
          <w:rFonts w:hint="eastAsia" w:ascii="方正小标宋_GBK" w:hAnsi="方正小标宋_GBK" w:eastAsia="方正小标宋_GBK" w:cs="方正小标宋_GBK"/>
          <w:spacing w:val="57"/>
          <w:kern w:val="0"/>
          <w:sz w:val="44"/>
          <w:szCs w:val="44"/>
        </w:rPr>
        <w:t>行政审批告知承诺书</w:t>
      </w:r>
    </w:p>
    <w:p>
      <w:pPr>
        <w:widowControl/>
        <w:jc w:val="center"/>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《放射性药品使用许可证》</w:t>
      </w:r>
      <w:r>
        <w:rPr>
          <w:rFonts w:hint="eastAsia" w:ascii="方正楷体_GBK" w:hAnsi="方正楷体_GBK" w:eastAsia="方正楷体_GBK" w:cs="方正楷体_GBK"/>
          <w:kern w:val="0"/>
          <w:sz w:val="32"/>
          <w:szCs w:val="32"/>
          <w:lang w:val="en-US" w:eastAsia="zh-CN"/>
        </w:rPr>
        <w:t>(一、二类）</w:t>
      </w:r>
    </w:p>
    <w:p>
      <w:pPr>
        <w:widowControl/>
        <w:jc w:val="center"/>
        <w:rPr>
          <w:rFonts w:ascii="方正仿宋_GBK" w:hAnsi="方正仿宋_GBK" w:eastAsia="方正仿宋_GBK" w:cs="方正仿宋_GBK"/>
          <w:kern w:val="0"/>
          <w:sz w:val="32"/>
          <w:szCs w:val="32"/>
        </w:rPr>
      </w:pPr>
      <w:r>
        <w:rPr>
          <w:rFonts w:hint="eastAsia" w:ascii="方正楷体_GBK" w:hAnsi="方正楷体_GBK" w:eastAsia="方正楷体_GBK" w:cs="方正楷体_GBK"/>
          <w:kern w:val="0"/>
          <w:sz w:val="32"/>
          <w:szCs w:val="32"/>
        </w:rPr>
        <w:t>（医疗机构）</w:t>
      </w:r>
    </w:p>
    <w:p>
      <w:pPr>
        <w:widowControl/>
        <w:jc w:val="center"/>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2"/>
          <w:szCs w:val="32"/>
        </w:rPr>
        <w:t xml:space="preserve">                                     ﹝    年﹞第    号</w:t>
      </w:r>
    </w:p>
    <w:p>
      <w:pPr>
        <w:widowControl/>
        <w:adjustRightInd w:val="0"/>
        <w:snapToGrid w:val="0"/>
        <w:spacing w:line="560" w:lineRule="exact"/>
        <w:ind w:firstLine="600" w:firstLineChars="200"/>
        <w:jc w:val="right"/>
        <w:rPr>
          <w:rFonts w:ascii="仿宋_GB2312" w:eastAsia="仿宋_GB2312"/>
          <w:kern w:val="0"/>
          <w:sz w:val="30"/>
          <w:szCs w:val="30"/>
        </w:rPr>
      </w:pPr>
    </w:p>
    <w:p>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申请（法）人：</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hint="eastAsia" w:ascii="仿宋_GB2312" w:eastAsia="仿宋_GB2312" w:cs="仿宋_GB2312"/>
          <w:kern w:val="0"/>
          <w:sz w:val="30"/>
          <w:szCs w:val="30"/>
          <w:u w:val="single"/>
          <w:lang w:val="en-US" w:eastAsia="zh-CN"/>
        </w:rPr>
        <w:t xml:space="preserve">  </w:t>
      </w:r>
    </w:p>
    <w:p>
      <w:pPr>
        <w:widowControl/>
        <w:adjustRightInd w:val="0"/>
        <w:snapToGrid w:val="0"/>
        <w:spacing w:line="560" w:lineRule="exact"/>
        <w:ind w:firstLine="600" w:firstLineChars="200"/>
        <w:rPr>
          <w:rFonts w:ascii="仿宋_GB2312" w:eastAsia="仿宋_GB2312"/>
          <w:kern w:val="0"/>
          <w:sz w:val="30"/>
          <w:szCs w:val="30"/>
          <w:u w:val="single"/>
        </w:rPr>
      </w:pPr>
      <w:r>
        <w:rPr>
          <w:rFonts w:hint="eastAsia" w:ascii="仿宋_GB2312" w:eastAsia="仿宋_GB2312" w:cs="仿宋_GB2312"/>
          <w:kern w:val="0"/>
          <w:sz w:val="30"/>
          <w:szCs w:val="30"/>
        </w:rPr>
        <w:t>单位名称：</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pPr>
        <w:widowControl/>
        <w:adjustRightInd w:val="0"/>
        <w:snapToGrid w:val="0"/>
        <w:spacing w:line="560" w:lineRule="exact"/>
        <w:ind w:firstLine="600" w:firstLineChars="200"/>
        <w:rPr>
          <w:rFonts w:eastAsia="仿宋_GB2312"/>
          <w:kern w:val="0"/>
          <w:sz w:val="30"/>
          <w:szCs w:val="30"/>
          <w:u w:val="single"/>
        </w:rPr>
      </w:pPr>
      <w:r>
        <w:rPr>
          <w:rFonts w:hint="eastAsia" w:ascii="仿宋_GB2312" w:eastAsia="仿宋_GB2312" w:cs="仿宋_GB2312"/>
          <w:kern w:val="0"/>
          <w:sz w:val="30"/>
          <w:szCs w:val="30"/>
        </w:rPr>
        <w:t>法定代表人：</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hint="eastAsia" w:ascii="仿宋_GB2312" w:eastAsia="仿宋_GB2312" w:cs="仿宋_GB2312"/>
          <w:kern w:val="0"/>
          <w:sz w:val="30"/>
          <w:szCs w:val="30"/>
          <w:u w:val="single"/>
          <w:lang w:val="en-US" w:eastAsia="zh-CN"/>
        </w:rPr>
        <w:t xml:space="preserve"> </w:t>
      </w:r>
      <w:r>
        <w:rPr>
          <w:rFonts w:ascii="仿宋_GB2312" w:eastAsia="仿宋_GB2312" w:cs="仿宋_GB2312"/>
          <w:kern w:val="0"/>
          <w:sz w:val="30"/>
          <w:szCs w:val="30"/>
          <w:u w:val="single"/>
        </w:rPr>
        <w:t xml:space="preserve">  </w:t>
      </w:r>
    </w:p>
    <w:p>
      <w:pPr>
        <w:widowControl/>
        <w:adjustRightInd w:val="0"/>
        <w:snapToGrid w:val="0"/>
        <w:spacing w:line="560" w:lineRule="exact"/>
        <w:ind w:firstLine="600" w:firstLineChars="200"/>
        <w:rPr>
          <w:rFonts w:ascii="仿宋_GB2312" w:eastAsia="仿宋_GB2312"/>
          <w:b/>
          <w:bCs/>
          <w:kern w:val="0"/>
          <w:sz w:val="30"/>
          <w:szCs w:val="30"/>
          <w:u w:val="single"/>
        </w:rPr>
      </w:pPr>
      <w:r>
        <w:rPr>
          <w:rFonts w:hint="eastAsia" w:ascii="仿宋_GB2312" w:eastAsia="仿宋_GB2312" w:cs="仿宋_GB2312"/>
          <w:kern w:val="0"/>
          <w:sz w:val="30"/>
          <w:szCs w:val="30"/>
        </w:rPr>
        <w:t>注册地址：</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单位地址：</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联系方式：</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pPr>
        <w:widowControl/>
        <w:adjustRightInd w:val="0"/>
        <w:snapToGrid w:val="0"/>
        <w:spacing w:line="560" w:lineRule="exact"/>
        <w:ind w:firstLine="0" w:firstLineChars="0"/>
        <w:rPr>
          <w:rFonts w:ascii="仿宋_GB2312" w:eastAsia="仿宋_GB2312"/>
          <w:kern w:val="0"/>
          <w:sz w:val="30"/>
          <w:szCs w:val="30"/>
        </w:rPr>
      </w:pPr>
    </w:p>
    <w:p>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委托代理人：</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hint="eastAsia" w:ascii="仿宋_GB2312" w:eastAsia="仿宋_GB2312" w:cs="仿宋_GB2312"/>
          <w:kern w:val="0"/>
          <w:sz w:val="30"/>
          <w:szCs w:val="30"/>
          <w:u w:val="single"/>
          <w:lang w:val="en-US" w:eastAsia="zh-CN"/>
        </w:rPr>
        <w:t xml:space="preserve">       </w:t>
      </w:r>
      <w:r>
        <w:rPr>
          <w:rFonts w:ascii="仿宋_GB2312" w:eastAsia="仿宋_GB2312" w:cs="仿宋_GB2312"/>
          <w:kern w:val="0"/>
          <w:sz w:val="30"/>
          <w:szCs w:val="30"/>
          <w:u w:val="single"/>
        </w:rPr>
        <w:t xml:space="preserve"> </w:t>
      </w:r>
      <w:r>
        <w:rPr>
          <w:rFonts w:eastAsia="仿宋_GB2312"/>
          <w:kern w:val="0"/>
          <w:sz w:val="30"/>
          <w:szCs w:val="30"/>
          <w:u w:val="single"/>
        </w:rPr>
        <w:t>  </w:t>
      </w:r>
    </w:p>
    <w:p>
      <w:pPr>
        <w:widowControl/>
        <w:adjustRightInd w:val="0"/>
        <w:snapToGrid w:val="0"/>
        <w:spacing w:line="560" w:lineRule="exact"/>
        <w:ind w:firstLine="600" w:firstLineChars="200"/>
        <w:rPr>
          <w:rFonts w:eastAsia="仿宋_GB2312"/>
          <w:kern w:val="0"/>
          <w:sz w:val="30"/>
          <w:szCs w:val="30"/>
          <w:u w:val="single"/>
        </w:rPr>
      </w:pPr>
      <w:r>
        <w:rPr>
          <w:rFonts w:hint="eastAsia" w:ascii="仿宋_GB2312" w:eastAsia="仿宋_GB2312" w:cs="仿宋_GB2312"/>
          <w:kern w:val="0"/>
          <w:sz w:val="30"/>
          <w:szCs w:val="30"/>
        </w:rPr>
        <w:t>证件类型：</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hint="eastAsia" w:ascii="仿宋_GB2312" w:eastAsia="仿宋_GB2312" w:cs="仿宋_GB2312"/>
          <w:kern w:val="0"/>
          <w:sz w:val="30"/>
          <w:szCs w:val="30"/>
          <w:u w:val="single"/>
          <w:lang w:val="en-US" w:eastAsia="zh-CN"/>
        </w:rPr>
        <w:t xml:space="preserve">               </w:t>
      </w:r>
      <w:r>
        <w:rPr>
          <w:rFonts w:ascii="仿宋_GB2312" w:eastAsia="仿宋_GB2312" w:cs="仿宋_GB2312"/>
          <w:kern w:val="0"/>
          <w:sz w:val="30"/>
          <w:szCs w:val="30"/>
          <w:u w:val="single"/>
        </w:rPr>
        <w:t xml:space="preserve">  </w:t>
      </w:r>
      <w:r>
        <w:rPr>
          <w:rFonts w:eastAsia="仿宋_GB2312"/>
          <w:kern w:val="0"/>
          <w:sz w:val="30"/>
          <w:szCs w:val="30"/>
          <w:u w:val="single"/>
        </w:rPr>
        <w:t>  </w:t>
      </w:r>
    </w:p>
    <w:p>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证件号：</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r>
        <w:rPr>
          <w:rFonts w:hint="eastAsia" w:eastAsia="仿宋_GB2312"/>
          <w:kern w:val="0"/>
          <w:sz w:val="30"/>
          <w:szCs w:val="30"/>
          <w:u w:val="single"/>
          <w:lang w:val="en-US" w:eastAsia="zh-CN"/>
        </w:rPr>
        <w:t xml:space="preserve">      </w:t>
      </w:r>
    </w:p>
    <w:p>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联系方式：</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pPr>
        <w:widowControl/>
        <w:adjustRightInd w:val="0"/>
        <w:snapToGrid w:val="0"/>
        <w:spacing w:line="560" w:lineRule="exact"/>
        <w:jc w:val="left"/>
        <w:rPr>
          <w:rFonts w:ascii="仿宋_GB2312" w:eastAsia="仿宋_GB2312"/>
          <w:kern w:val="0"/>
          <w:sz w:val="30"/>
          <w:szCs w:val="30"/>
        </w:rPr>
      </w:pPr>
    </w:p>
    <w:p>
      <w:pPr>
        <w:widowControl/>
        <w:adjustRightInd w:val="0"/>
        <w:snapToGrid w:val="0"/>
        <w:spacing w:line="560" w:lineRule="exact"/>
        <w:ind w:firstLine="600" w:firstLineChars="200"/>
        <w:jc w:val="left"/>
        <w:rPr>
          <w:rFonts w:hint="eastAsia" w:ascii="仿宋_GB2312" w:eastAsia="仿宋_GB2312" w:cs="仿宋_GB2312"/>
          <w:kern w:val="0"/>
          <w:sz w:val="30"/>
          <w:szCs w:val="30"/>
        </w:rPr>
      </w:pPr>
      <w:r>
        <w:rPr>
          <w:rFonts w:hint="eastAsia" w:ascii="仿宋_GB2312" w:eastAsia="仿宋_GB2312" w:cs="仿宋_GB2312"/>
          <w:kern w:val="0"/>
          <w:sz w:val="30"/>
          <w:szCs w:val="30"/>
          <w:lang w:eastAsia="zh-CN"/>
        </w:rPr>
        <w:t>行政审批机关：</w:t>
      </w:r>
      <w:r>
        <w:rPr>
          <w:rFonts w:hint="eastAsia" w:ascii="仿宋_GB2312" w:eastAsia="仿宋_GB2312" w:cs="仿宋_GB2312"/>
          <w:kern w:val="0"/>
          <w:sz w:val="30"/>
          <w:szCs w:val="30"/>
        </w:rPr>
        <w:t>重庆市药品监督管理局</w:t>
      </w:r>
    </w:p>
    <w:p>
      <w:pPr>
        <w:widowControl/>
        <w:adjustRightInd w:val="0"/>
        <w:snapToGrid w:val="0"/>
        <w:spacing w:line="560" w:lineRule="exact"/>
        <w:ind w:firstLine="600" w:firstLineChars="200"/>
        <w:jc w:val="left"/>
        <w:rPr>
          <w:rFonts w:hint="eastAsia" w:ascii="仿宋_GB2312" w:eastAsia="仿宋_GB2312" w:cs="仿宋_GB2312"/>
          <w:kern w:val="0"/>
          <w:sz w:val="30"/>
          <w:szCs w:val="30"/>
          <w:lang w:val="en-US" w:eastAsia="zh-CN"/>
        </w:rPr>
      </w:pPr>
      <w:r>
        <w:rPr>
          <w:rFonts w:hint="eastAsia" w:ascii="仿宋_GB2312" w:eastAsia="仿宋_GB2312" w:cs="仿宋_GB2312"/>
          <w:kern w:val="0"/>
          <w:sz w:val="30"/>
          <w:szCs w:val="30"/>
          <w:lang w:eastAsia="zh-CN"/>
        </w:rPr>
        <w:t>邮寄地址：重庆市渝北区食品城大道</w:t>
      </w:r>
      <w:r>
        <w:rPr>
          <w:rFonts w:hint="eastAsia" w:ascii="仿宋_GB2312" w:eastAsia="仿宋_GB2312" w:cs="仿宋_GB2312"/>
          <w:kern w:val="0"/>
          <w:sz w:val="30"/>
          <w:szCs w:val="30"/>
          <w:lang w:val="en-US" w:eastAsia="zh-CN"/>
        </w:rPr>
        <w:t>27号</w:t>
      </w:r>
    </w:p>
    <w:p>
      <w:pPr>
        <w:widowControl/>
        <w:adjustRightInd w:val="0"/>
        <w:snapToGrid w:val="0"/>
        <w:spacing w:line="560" w:lineRule="exact"/>
        <w:ind w:firstLine="600" w:firstLineChars="200"/>
        <w:jc w:val="left"/>
        <w:rPr>
          <w:rFonts w:hint="eastAsia" w:ascii="仿宋_GB2312" w:eastAsia="仿宋_GB2312" w:cs="仿宋_GB2312"/>
          <w:kern w:val="0"/>
          <w:sz w:val="30"/>
          <w:szCs w:val="30"/>
          <w:lang w:val="en-US" w:eastAsia="zh-CN"/>
        </w:rPr>
      </w:pPr>
      <w:r>
        <w:rPr>
          <w:rFonts w:hint="eastAsia" w:ascii="仿宋_GB2312" w:eastAsia="仿宋_GB2312" w:cs="仿宋_GB2312"/>
          <w:kern w:val="0"/>
          <w:sz w:val="30"/>
          <w:szCs w:val="30"/>
          <w:lang w:val="en-US" w:eastAsia="zh-CN"/>
        </w:rPr>
        <w:t>收件人：重庆市药品监督管理局</w:t>
      </w:r>
      <w:r>
        <w:rPr>
          <w:rFonts w:hint="eastAsia" w:ascii="仿宋_GB2312" w:eastAsia="仿宋_GB2312" w:cs="仿宋_GB2312"/>
          <w:kern w:val="0"/>
          <w:sz w:val="30"/>
          <w:szCs w:val="30"/>
          <w:lang w:eastAsia="zh-CN"/>
        </w:rPr>
        <w:t>行政审批受理大厅</w:t>
      </w:r>
      <w:r>
        <w:rPr>
          <w:rFonts w:hint="eastAsia" w:ascii="仿宋_GB2312" w:eastAsia="仿宋_GB2312" w:cs="仿宋_GB2312"/>
          <w:kern w:val="0"/>
          <w:sz w:val="30"/>
          <w:szCs w:val="30"/>
          <w:lang w:val="en-US" w:eastAsia="zh-CN"/>
        </w:rPr>
        <w:t>0101室</w:t>
      </w:r>
    </w:p>
    <w:p>
      <w:pPr>
        <w:widowControl/>
        <w:adjustRightInd w:val="0"/>
        <w:snapToGrid w:val="0"/>
        <w:spacing w:line="560" w:lineRule="exact"/>
        <w:ind w:firstLine="600" w:firstLineChars="200"/>
        <w:jc w:val="left"/>
        <w:rPr>
          <w:rFonts w:hint="eastAsia" w:ascii="方正小标宋_GBK" w:hAnsi="方正小标宋_GBK" w:eastAsia="方正小标宋_GBK" w:cs="方正小标宋_GBK"/>
          <w:spacing w:val="20"/>
          <w:kern w:val="0"/>
          <w:sz w:val="36"/>
          <w:szCs w:val="36"/>
        </w:rPr>
      </w:pPr>
      <w:r>
        <w:rPr>
          <w:rFonts w:hint="eastAsia" w:ascii="仿宋_GB2312" w:eastAsia="仿宋_GB2312" w:cs="仿宋_GB2312"/>
          <w:kern w:val="0"/>
          <w:sz w:val="30"/>
          <w:szCs w:val="30"/>
          <w:lang w:val="en-US" w:eastAsia="zh-CN"/>
        </w:rPr>
        <w:t>联系电话：023-60353664</w:t>
      </w:r>
    </w:p>
    <w:p>
      <w:pPr>
        <w:widowControl/>
        <w:jc w:val="center"/>
        <w:rPr>
          <w:rFonts w:hint="eastAsia" w:ascii="方正小标宋_GBK" w:hAnsi="方正小标宋_GBK" w:eastAsia="方正小标宋_GBK" w:cs="方正小标宋_GBK"/>
          <w:spacing w:val="20"/>
          <w:kern w:val="0"/>
          <w:sz w:val="36"/>
          <w:szCs w:val="36"/>
        </w:rPr>
      </w:pPr>
    </w:p>
    <w:p>
      <w:pPr>
        <w:widowControl/>
        <w:jc w:val="center"/>
        <w:rPr>
          <w:rFonts w:hint="eastAsia" w:ascii="方正小标宋_GBK" w:hAnsi="方正小标宋_GBK" w:eastAsia="方正小标宋_GBK" w:cs="方正小标宋_GBK"/>
          <w:spacing w:val="20"/>
          <w:kern w:val="0"/>
          <w:sz w:val="36"/>
          <w:szCs w:val="36"/>
        </w:rPr>
        <w:sectPr>
          <w:pgSz w:w="11906" w:h="16838"/>
          <w:pgMar w:top="1417" w:right="1474" w:bottom="1417" w:left="1474" w:header="851" w:footer="992" w:gutter="0"/>
          <w:cols w:space="720" w:num="1"/>
          <w:docGrid w:type="lines" w:linePitch="312" w:charSpace="0"/>
        </w:sectPr>
      </w:pPr>
    </w:p>
    <w:p>
      <w:pPr>
        <w:widowControl/>
        <w:jc w:val="center"/>
        <w:rPr>
          <w:rFonts w:ascii="方正小标宋_GBK" w:hAnsi="方正小标宋_GBK" w:eastAsia="方正小标宋_GBK" w:cs="方正小标宋_GBK"/>
          <w:spacing w:val="20"/>
          <w:kern w:val="0"/>
          <w:sz w:val="36"/>
          <w:szCs w:val="36"/>
        </w:rPr>
      </w:pPr>
      <w:r>
        <w:rPr>
          <w:rFonts w:hint="eastAsia" w:ascii="方正小标宋_GBK" w:hAnsi="方正小标宋_GBK" w:eastAsia="方正小标宋_GBK" w:cs="方正小标宋_GBK"/>
          <w:spacing w:val="20"/>
          <w:kern w:val="0"/>
          <w:sz w:val="36"/>
          <w:szCs w:val="36"/>
        </w:rPr>
        <w:t>行政审批机关告知</w:t>
      </w:r>
      <w:r>
        <w:rPr>
          <w:rFonts w:hint="eastAsia" w:ascii="方正小标宋_GBK" w:hAnsi="方正小标宋_GBK" w:eastAsia="方正小标宋_GBK" w:cs="方正小标宋_GBK"/>
          <w:spacing w:val="20"/>
          <w:kern w:val="0"/>
          <w:sz w:val="36"/>
          <w:szCs w:val="36"/>
          <w:lang w:eastAsia="zh-CN"/>
        </w:rPr>
        <w:t>书</w:t>
      </w:r>
    </w:p>
    <w:p>
      <w:pPr>
        <w:widowControl/>
        <w:adjustRightInd w:val="0"/>
        <w:snapToGrid w:val="0"/>
        <w:spacing w:line="460" w:lineRule="exact"/>
        <w:rPr>
          <w:rFonts w:ascii="方正小标宋_GBK" w:hAnsi="方正小标宋_GBK" w:eastAsia="方正小标宋_GBK" w:cs="方正小标宋_GBK"/>
          <w:kern w:val="0"/>
          <w:sz w:val="28"/>
          <w:szCs w:val="28"/>
        </w:rPr>
      </w:pPr>
    </w:p>
    <w:p>
      <w:pPr>
        <w:widowControl/>
        <w:adjustRightInd w:val="0"/>
        <w:snapToGrid w:val="0"/>
        <w:spacing w:line="46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rPr>
        <w:t>按照</w:t>
      </w:r>
      <w:r>
        <w:rPr>
          <w:rFonts w:hint="eastAsia" w:ascii="方正仿宋_GBK" w:hAnsi="方正仿宋_GBK" w:eastAsia="方正仿宋_GBK" w:cs="方正仿宋_GBK"/>
          <w:sz w:val="28"/>
          <w:szCs w:val="28"/>
        </w:rPr>
        <w:t>《国务院关于在全国推开“证照分离”改革的通知》（国发〔2018〕35号）要求，本行政审批机关就核、换发《放射性药品使用许可证》行政审批事项告知如下：</w:t>
      </w:r>
    </w:p>
    <w:p>
      <w:pPr>
        <w:widowControl/>
        <w:adjustRightInd w:val="0"/>
        <w:snapToGrid w:val="0"/>
        <w:spacing w:line="4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w:t>
      </w:r>
      <w:r>
        <w:rPr>
          <w:rFonts w:hint="eastAsia" w:ascii="方正黑体_GBK" w:hAnsi="方正黑体_GBK" w:eastAsia="方正黑体_GBK" w:cs="方正黑体_GBK"/>
          <w:kern w:val="0"/>
          <w:sz w:val="28"/>
          <w:szCs w:val="28"/>
        </w:rPr>
        <w:t>一、审批依据</w:t>
      </w:r>
    </w:p>
    <w:p>
      <w:pPr>
        <w:widowControl/>
        <w:adjustRightInd w:val="0"/>
        <w:snapToGrid w:val="0"/>
        <w:spacing w:line="4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本行政审批事项的依据为：</w:t>
      </w:r>
    </w:p>
    <w:p>
      <w:pPr>
        <w:widowControl/>
        <w:adjustRightInd w:val="0"/>
        <w:snapToGrid w:val="0"/>
        <w:spacing w:line="4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1.《放射性药品管理办法》（国务院令第25号）第二十三条：医疗单位使用放射性药品，必须符合国家放射性同位素卫生防护管理的有关规定。所在地的省、自治区、直辖市的公安、环保和卫生行政部门，应当根据医疗单位核医疗技术人员的水平、设备条件，核发相应等级的《放射性药品使用许可证》，无许可证的医疗单位不得临床使用放射性药品。《放射性药品使用许可证》有效期为五年，期满前六个月，医疗单位应当向原发证的行政部门重新提出申请，经审核批准后，换发新证。</w:t>
      </w:r>
      <w:r>
        <w:rPr>
          <w:rFonts w:hint="eastAsia" w:ascii="方正仿宋_GBK" w:hAnsi="方正仿宋_GBK" w:eastAsia="方正仿宋_GBK" w:cs="方正仿宋_GBK"/>
          <w:kern w:val="0"/>
          <w:sz w:val="28"/>
          <w:szCs w:val="28"/>
        </w:rPr>
        <w:br/>
      </w:r>
      <w:r>
        <w:rPr>
          <w:rFonts w:hint="eastAsia" w:ascii="方正仿宋_GBK" w:hAnsi="方正仿宋_GBK" w:eastAsia="方正仿宋_GBK" w:cs="方正仿宋_GBK"/>
          <w:kern w:val="0"/>
          <w:sz w:val="28"/>
          <w:szCs w:val="28"/>
        </w:rPr>
        <w:t xml:space="preserve">    2.《关于开展换发&lt;放射性药品使用许可证&gt;工作的通知》（国食药监安〔2003〕199号）中规定“各省、自治区、直辖市药品监督管理局要制定换证工作实施方案，组织辖区内医疗机构认真学习《验收标准》，进行自查整改，在此基础上开展检查验收工作。”</w:t>
      </w:r>
    </w:p>
    <w:p>
      <w:pPr>
        <w:widowControl/>
        <w:adjustRightInd w:val="0"/>
        <w:snapToGrid w:val="0"/>
        <w:spacing w:line="460" w:lineRule="exact"/>
        <w:jc w:val="left"/>
        <w:rPr>
          <w:rFonts w:ascii="方正仿宋_GBK" w:hAnsi="方正仿宋_GBK" w:eastAsia="方正仿宋_GBK" w:cs="方正仿宋_GBK"/>
          <w:kern w:val="0"/>
          <w:sz w:val="28"/>
          <w:szCs w:val="28"/>
        </w:rPr>
      </w:pPr>
      <w:r>
        <w:rPr>
          <w:rFonts w:hint="eastAsia" w:ascii="方正仿宋_GBK" w:hAnsi="仿宋" w:eastAsia="方正仿宋_GBK" w:cs="仿宋"/>
          <w:sz w:val="28"/>
          <w:szCs w:val="28"/>
        </w:rPr>
        <w:t xml:space="preserve">    3.《关于延长</w:t>
      </w:r>
      <w:r>
        <w:rPr>
          <w:rFonts w:hint="eastAsia" w:ascii="方正仿宋_GBK" w:hAnsi="方正仿宋_GBK" w:eastAsia="方正仿宋_GBK" w:cs="方正仿宋_GBK"/>
          <w:sz w:val="28"/>
          <w:szCs w:val="28"/>
        </w:rPr>
        <w:t>&lt;放射性药品使用许可证&gt;有效期的通知》（国食药监安〔2009〕94号）中规定“鉴于相关部门对放射性药品使用的监管职能和监管方式已发生变化，放射性药品使用管理的相关规定需进一步完善，为满足临床放射性药品的使用，确保对放射性药品使用环节有序监管，国家食品药品监督管理局、环保部、卫生部决定，暂不组织《许可证》换发工作，医疗机构原持有的《许可证》有效期延长5年。 ”</w:t>
      </w:r>
    </w:p>
    <w:p>
      <w:pPr>
        <w:pStyle w:val="7"/>
        <w:adjustRightInd w:val="0"/>
        <w:snapToGrid w:val="0"/>
        <w:spacing w:line="46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4.《重庆市食品药品监督管理局关于开展换发&lt;放射性药品使用许可证&gt;工作的通知》（渝食药监药生产〔2018〕68号）中规定“</w:t>
      </w:r>
      <w:r>
        <w:rPr>
          <w:rFonts w:hint="eastAsia" w:ascii="方正仿宋_GBK" w:hAnsi="方正仿宋_GBK" w:eastAsia="方正仿宋_GBK" w:cs="方正仿宋_GBK"/>
          <w:sz w:val="28"/>
          <w:szCs w:val="28"/>
        </w:rPr>
        <w:t>我市依法持有《放射性药品使用许可证》，有效期期满1年以内的，或有效期过期的医疗机构，应按规定申请换发新版《放射性药品使用许可证》。</w:t>
      </w:r>
      <w:r>
        <w:rPr>
          <w:rFonts w:hint="eastAsia" w:ascii="方正仿宋_GBK" w:hAnsi="方正仿宋_GBK" w:eastAsia="方正仿宋_GBK" w:cs="方正仿宋_GBK"/>
          <w:kern w:val="0"/>
          <w:sz w:val="28"/>
          <w:szCs w:val="28"/>
        </w:rPr>
        <w:t>”</w:t>
      </w:r>
    </w:p>
    <w:p>
      <w:pPr>
        <w:pStyle w:val="7"/>
        <w:adjustRightInd w:val="0"/>
        <w:snapToGrid w:val="0"/>
        <w:spacing w:line="460" w:lineRule="exact"/>
        <w:ind w:firstLine="560" w:firstLineChars="200"/>
        <w:rPr>
          <w:rFonts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二、许可条件</w:t>
      </w:r>
    </w:p>
    <w:p>
      <w:pPr>
        <w:pStyle w:val="7"/>
        <w:adjustRightInd w:val="0"/>
        <w:snapToGrid w:val="0"/>
        <w:spacing w:line="46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本行政审批事项获得</w:t>
      </w:r>
      <w:r>
        <w:rPr>
          <w:rFonts w:hint="eastAsia" w:ascii="方正仿宋_GBK" w:hAnsi="方正仿宋_GBK" w:eastAsia="方正仿宋_GBK" w:cs="方正仿宋_GBK"/>
          <w:spacing w:val="10"/>
          <w:kern w:val="0"/>
          <w:sz w:val="28"/>
          <w:szCs w:val="28"/>
        </w:rPr>
        <w:t>批准应当具备以下对照表中条件、标准和技术要求：</w:t>
      </w:r>
    </w:p>
    <w:p>
      <w:pPr>
        <w:adjustRightInd w:val="0"/>
        <w:snapToGrid w:val="0"/>
        <w:spacing w:line="400" w:lineRule="exact"/>
        <w:jc w:val="center"/>
        <w:rPr>
          <w:rFonts w:ascii="方正仿宋_GBK" w:hAnsi="方正仿宋_GBK" w:eastAsia="方正仿宋_GBK" w:cs="方正仿宋_GBK"/>
          <w:kern w:val="0"/>
          <w:sz w:val="28"/>
          <w:szCs w:val="28"/>
        </w:rPr>
      </w:pPr>
      <w:r>
        <w:rPr>
          <w:rFonts w:hint="eastAsia" w:ascii="方正小标宋_GBK" w:eastAsia="方正小标宋_GBK"/>
          <w:bCs/>
          <w:sz w:val="28"/>
          <w:szCs w:val="28"/>
        </w:rPr>
        <w:t>《放射性药品使用许可证》</w:t>
      </w:r>
      <w:r>
        <w:rPr>
          <w:rFonts w:hint="eastAsia" w:ascii="方正小标宋_GBK" w:eastAsia="方正小标宋_GBK"/>
          <w:bCs/>
          <w:sz w:val="28"/>
          <w:szCs w:val="28"/>
          <w:lang w:eastAsia="zh-CN"/>
        </w:rPr>
        <w:t>（一、二类）</w:t>
      </w:r>
      <w:r>
        <w:rPr>
          <w:rFonts w:hint="eastAsia" w:ascii="方正小标宋_GBK" w:eastAsia="方正小标宋_GBK"/>
          <w:bCs/>
          <w:sz w:val="28"/>
          <w:szCs w:val="28"/>
        </w:rPr>
        <w:t>许可条件对照表</w:t>
      </w:r>
    </w:p>
    <w:tbl>
      <w:tblPr>
        <w:tblStyle w:val="10"/>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4043"/>
        <w:gridCol w:w="4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1530" w:type="dxa"/>
            <w:vAlign w:val="top"/>
          </w:tcPr>
          <w:p>
            <w:pPr>
              <w:tabs>
                <w:tab w:val="left" w:pos="705"/>
              </w:tabs>
              <w:adjustRightInd w:val="0"/>
              <w:snapToGrid w:val="0"/>
              <w:spacing w:line="260" w:lineRule="exact"/>
              <w:rPr>
                <w:rFonts w:ascii="方正仿宋_GBK" w:hAnsi="方正仿宋_GBK" w:eastAsia="方正仿宋_GBK" w:cs="方正仿宋_GBK"/>
                <w:szCs w:val="21"/>
              </w:rPr>
            </w:pPr>
            <w:r>
              <w:rPr>
                <w:rFonts w:ascii="方正仿宋_GBK" w:hAnsi="方正仿宋_GBK" w:eastAsia="方正仿宋_GBK" w:cs="方正仿宋_GBK"/>
                <w:kern w:val="2"/>
                <w:sz w:val="21"/>
                <w:szCs w:val="21"/>
                <w:lang w:val="en-US" w:eastAsia="zh-CN" w:bidi="ar-SA"/>
              </w:rPr>
              <w:pict>
                <v:line id="直线 7" o:spid="_x0000_s1026" style="position:absolute;left:0;margin-left:-4.9pt;margin-top:0.8pt;height:29.25pt;width:76.25pt;rotation:0f;z-index:251658240;"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方正仿宋_GBK" w:hAnsi="方正仿宋_GBK" w:eastAsia="方正仿宋_GBK" w:cs="方正仿宋_GBK"/>
                <w:szCs w:val="21"/>
              </w:rPr>
              <w:t xml:space="preserve">    别类 </w:t>
            </w:r>
          </w:p>
          <w:p>
            <w:pPr>
              <w:tabs>
                <w:tab w:val="left" w:pos="705"/>
              </w:tabs>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 xml:space="preserve">项目  </w:t>
            </w:r>
          </w:p>
        </w:tc>
        <w:tc>
          <w:tcPr>
            <w:tcW w:w="4043" w:type="dxa"/>
            <w:vAlign w:val="center"/>
          </w:tcPr>
          <w:p>
            <w:pPr>
              <w:adjustRightInd w:val="0"/>
              <w:snapToGrid w:val="0"/>
              <w:spacing w:line="2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第一类</w:t>
            </w:r>
          </w:p>
        </w:tc>
        <w:tc>
          <w:tcPr>
            <w:tcW w:w="4167" w:type="dxa"/>
            <w:vAlign w:val="center"/>
          </w:tcPr>
          <w:p>
            <w:pPr>
              <w:adjustRightInd w:val="0"/>
              <w:snapToGrid w:val="0"/>
              <w:spacing w:line="2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第二类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40" w:hRule="atLeast"/>
          <w:jc w:val="center"/>
        </w:trPr>
        <w:tc>
          <w:tcPr>
            <w:tcW w:w="1530" w:type="dxa"/>
            <w:vAlign w:val="center"/>
          </w:tcPr>
          <w:p>
            <w:pPr>
              <w:adjustRightInd w:val="0"/>
              <w:snapToGrid w:val="0"/>
              <w:spacing w:line="260" w:lineRule="exact"/>
              <w:jc w:val="center"/>
              <w:rPr>
                <w:rFonts w:ascii="方正仿宋_GBK" w:hAnsi="方正仿宋_GBK" w:eastAsia="方正仿宋_GBK" w:cs="方正仿宋_GBK"/>
                <w:szCs w:val="21"/>
              </w:rPr>
            </w:pPr>
          </w:p>
          <w:p>
            <w:pPr>
              <w:adjustRightInd w:val="0"/>
              <w:snapToGrid w:val="0"/>
              <w:spacing w:line="260" w:lineRule="exact"/>
              <w:jc w:val="center"/>
              <w:rPr>
                <w:rFonts w:ascii="方正仿宋_GBK" w:hAnsi="方正仿宋_GBK" w:eastAsia="方正仿宋_GBK" w:cs="方正仿宋_GBK"/>
                <w:szCs w:val="21"/>
              </w:rPr>
            </w:pPr>
          </w:p>
          <w:p>
            <w:pPr>
              <w:adjustRightInd w:val="0"/>
              <w:snapToGrid w:val="0"/>
              <w:spacing w:line="2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使</w:t>
            </w:r>
          </w:p>
          <w:p>
            <w:pPr>
              <w:adjustRightInd w:val="0"/>
              <w:snapToGrid w:val="0"/>
              <w:spacing w:line="2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用</w:t>
            </w:r>
          </w:p>
          <w:p>
            <w:pPr>
              <w:adjustRightInd w:val="0"/>
              <w:snapToGrid w:val="0"/>
              <w:spacing w:line="2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范</w:t>
            </w:r>
          </w:p>
          <w:p>
            <w:pPr>
              <w:adjustRightInd w:val="0"/>
              <w:snapToGrid w:val="0"/>
              <w:spacing w:line="2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围</w:t>
            </w:r>
          </w:p>
        </w:tc>
        <w:tc>
          <w:tcPr>
            <w:tcW w:w="4043" w:type="dxa"/>
            <w:vAlign w:val="center"/>
          </w:tcPr>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准许使用体外诊断用各种含放射性核素的分析药盒。</w:t>
            </w:r>
          </w:p>
        </w:tc>
        <w:tc>
          <w:tcPr>
            <w:tcW w:w="4167" w:type="dxa"/>
            <w:vAlign w:val="center"/>
          </w:tcPr>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（1）体内诊断、治疗用一般放射性药品(系指根据诊断、治疗需要，对购入的放射性药品进行简单的稀释或不稀释用于病人的品种。如碘[131I]化钠口服溶液、邻碘[131I]马尿酸钠注射液、氯化亚铊[201T1]注射液等)；</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（2）即时标记放射性药品生产企业提供的已配制完成的含锝[99mTc]注射液。</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(3)正电子类放射性药品。如氟-[18F]脱氧葡糖、氟-[18F]氟化钠等（只使用不制备）。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0" w:hRule="atLeast"/>
          <w:jc w:val="center"/>
        </w:trPr>
        <w:tc>
          <w:tcPr>
            <w:tcW w:w="1530" w:type="dxa"/>
            <w:vAlign w:val="center"/>
          </w:tcPr>
          <w:p>
            <w:pPr>
              <w:adjustRightInd w:val="0"/>
              <w:snapToGrid w:val="0"/>
              <w:spacing w:line="2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机</w:t>
            </w:r>
          </w:p>
          <w:p>
            <w:pPr>
              <w:adjustRightInd w:val="0"/>
              <w:snapToGrid w:val="0"/>
              <w:spacing w:line="2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构</w:t>
            </w:r>
          </w:p>
          <w:p>
            <w:pPr>
              <w:adjustRightInd w:val="0"/>
              <w:snapToGrid w:val="0"/>
              <w:spacing w:line="2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和</w:t>
            </w:r>
          </w:p>
          <w:p>
            <w:pPr>
              <w:adjustRightInd w:val="0"/>
              <w:snapToGrid w:val="0"/>
              <w:spacing w:line="2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人</w:t>
            </w:r>
          </w:p>
          <w:p>
            <w:pPr>
              <w:adjustRightInd w:val="0"/>
              <w:snapToGrid w:val="0"/>
              <w:spacing w:line="2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员</w:t>
            </w:r>
          </w:p>
        </w:tc>
        <w:tc>
          <w:tcPr>
            <w:tcW w:w="4043" w:type="dxa"/>
            <w:vAlign w:val="center"/>
          </w:tcPr>
          <w:p>
            <w:pPr>
              <w:numPr>
                <w:ilvl w:val="0"/>
                <w:numId w:val="2"/>
              </w:num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机构应持有《医疗机构执业许可证》和《放射诊疗许可证》；由主管院长、核医学科或放射科主任、PET或PET-CT中心主任等有关成员组成领导小组，负责本单位使用放射性药品的安全监督检查工作。</w:t>
            </w:r>
          </w:p>
          <w:p>
            <w:pPr>
              <w:numPr>
                <w:ilvl w:val="0"/>
                <w:numId w:val="2"/>
              </w:num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操作放射性物质的人员应持有卫生计生行政部门发给的《放射工作人员证》或培训证书。</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 具有医学院校毕业或经核医学专业培训半年以上，并获中级以上专业技术职务的人员；</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（4）具有中专以上文化程度或经核医学（放免）专业培训，从事本专业三年以上的技术人员；</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（5）所有医护人员应具有相关执业资格，执业注册地点应与所在单位一致。</w:t>
            </w:r>
          </w:p>
        </w:tc>
        <w:tc>
          <w:tcPr>
            <w:tcW w:w="4167" w:type="dxa"/>
            <w:vAlign w:val="center"/>
          </w:tcPr>
          <w:p>
            <w:pPr>
              <w:tabs>
                <w:tab w:val="left" w:pos="0"/>
              </w:tabs>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（1）机构应持有《医疗机构执业许可证》和《放射诊疗许可证》；由主管院长、核医学科或放射科主任、PET或PET-CT中心主任等有关成员组成领导小组，负责本单位使用放射性药品的安全监督检查工作。</w:t>
            </w:r>
          </w:p>
          <w:p>
            <w:pPr>
              <w:tabs>
                <w:tab w:val="left" w:pos="0"/>
              </w:tabs>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（2）操作放射性物质的人员应持有卫生计生行政部门发给的《放射工作人员证》或培训证书。</w:t>
            </w:r>
          </w:p>
          <w:p>
            <w:pPr>
              <w:tabs>
                <w:tab w:val="left" w:pos="0"/>
              </w:tabs>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（3）具有取得执业医师资格,经核医学专业培训1年以上，并获中级以上专业技术职务的人员；从事放射性药品治疗的医疗机构，还必须配备核医学副高级以上专业技术职务的人员;</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（4）具有中专以上文化程度或经核医学专业培训，从事本专业三年以上的技术人员；</w:t>
            </w:r>
          </w:p>
          <w:p>
            <w:pPr>
              <w:tabs>
                <w:tab w:val="left" w:pos="0"/>
              </w:tabs>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（5）所有医护人员应具有相关执业资格，执业注册地点应与所在单位一致。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8" w:hRule="atLeast"/>
          <w:jc w:val="center"/>
        </w:trPr>
        <w:tc>
          <w:tcPr>
            <w:tcW w:w="1530" w:type="dxa"/>
            <w:vAlign w:val="center"/>
          </w:tcPr>
          <w:p>
            <w:pPr>
              <w:adjustRightInd w:val="0"/>
              <w:snapToGrid w:val="0"/>
              <w:spacing w:line="2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仪</w:t>
            </w:r>
          </w:p>
          <w:p>
            <w:pPr>
              <w:adjustRightInd w:val="0"/>
              <w:snapToGrid w:val="0"/>
              <w:spacing w:line="2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器</w:t>
            </w:r>
          </w:p>
          <w:p>
            <w:pPr>
              <w:adjustRightInd w:val="0"/>
              <w:snapToGrid w:val="0"/>
              <w:spacing w:line="2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与</w:t>
            </w:r>
          </w:p>
          <w:p>
            <w:pPr>
              <w:adjustRightInd w:val="0"/>
              <w:snapToGrid w:val="0"/>
              <w:spacing w:line="2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设</w:t>
            </w:r>
          </w:p>
          <w:p>
            <w:pPr>
              <w:adjustRightInd w:val="0"/>
              <w:snapToGrid w:val="0"/>
              <w:spacing w:line="2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备</w:t>
            </w:r>
          </w:p>
        </w:tc>
        <w:tc>
          <w:tcPr>
            <w:tcW w:w="4043" w:type="dxa"/>
            <w:vAlign w:val="center"/>
          </w:tcPr>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（1）具有表面沾污监测仪、加样器、</w:t>
            </w:r>
            <w:r>
              <w:rPr>
                <w:rFonts w:hint="eastAsia" w:ascii="方正仿宋_GBK" w:hAnsi="方正仿宋_GBK" w:eastAsia="方正仿宋_GBK" w:cs="方正仿宋_GBK"/>
                <w:szCs w:val="21"/>
              </w:rPr>
              <w:sym w:font="Symbol" w:char="F067"/>
            </w:r>
            <w:r>
              <w:rPr>
                <w:rFonts w:hint="eastAsia" w:ascii="方正仿宋_GBK" w:hAnsi="方正仿宋_GBK" w:eastAsia="方正仿宋_GBK" w:cs="方正仿宋_GBK"/>
                <w:szCs w:val="21"/>
              </w:rPr>
              <w:t>计数器或液体闪烁计数器、恒温水浴箱、离心机、冰箱等；</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（2）具有满足辐射防护要求的储存、操作、废弃物处置等设备；</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（3）具有洗刷、清洁等器具和设备。</w:t>
            </w:r>
          </w:p>
          <w:p>
            <w:pPr>
              <w:adjustRightInd w:val="0"/>
              <w:snapToGrid w:val="0"/>
              <w:spacing w:line="260" w:lineRule="exact"/>
              <w:rPr>
                <w:rFonts w:ascii="方正仿宋_GBK" w:hAnsi="方正仿宋_GBK" w:eastAsia="方正仿宋_GBK" w:cs="方正仿宋_GBK"/>
                <w:szCs w:val="21"/>
              </w:rPr>
            </w:pPr>
          </w:p>
        </w:tc>
        <w:tc>
          <w:tcPr>
            <w:tcW w:w="4167" w:type="dxa"/>
            <w:vAlign w:val="center"/>
          </w:tcPr>
          <w:p>
            <w:pPr>
              <w:tabs>
                <w:tab w:val="left" w:pos="72"/>
              </w:tabs>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（1）具有表面沾污监测仪;</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（2）配备满足辐射防护要求的储存、操作、废弃物处置设备；</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（3）开展体内放射性药品诊断:必须配备经标定的活度计(井型电离室)、 功能测定仪(甲功仪或肾图仪)或显像设备(</w:t>
            </w:r>
            <w:r>
              <w:rPr>
                <w:rFonts w:hint="eastAsia" w:ascii="方正仿宋_GBK" w:hAnsi="方正仿宋_GBK" w:eastAsia="方正仿宋_GBK" w:cs="方正仿宋_GBK"/>
                <w:szCs w:val="21"/>
              </w:rPr>
              <w:sym w:font="Symbol" w:char="F067"/>
            </w:r>
            <w:r>
              <w:rPr>
                <w:rFonts w:hint="eastAsia" w:ascii="方正仿宋_GBK" w:hAnsi="方正仿宋_GBK" w:eastAsia="方正仿宋_GBK" w:cs="方正仿宋_GBK"/>
                <w:szCs w:val="21"/>
              </w:rPr>
              <w:t>闪烁照相机或单光子发射计算机断层仪)；开展体内放射性药品治疗:必须配备经标定的活度计（井型电离室）、显像设备（</w:t>
            </w:r>
            <w:r>
              <w:rPr>
                <w:rFonts w:hint="eastAsia" w:ascii="方正仿宋_GBK" w:hAnsi="方正仿宋_GBK" w:eastAsia="方正仿宋_GBK" w:cs="方正仿宋_GBK"/>
                <w:szCs w:val="21"/>
              </w:rPr>
              <w:sym w:font="Symbol" w:char="F067"/>
            </w:r>
            <w:r>
              <w:rPr>
                <w:rFonts w:hint="eastAsia" w:ascii="方正仿宋_GBK" w:hAnsi="方正仿宋_GBK" w:eastAsia="方正仿宋_GBK" w:cs="方正仿宋_GBK"/>
                <w:szCs w:val="21"/>
              </w:rPr>
              <w:t>闪烁照相机或单光子发射计算机断层仪）；开展甲状腺疾病治疗的必须配备甲功仪。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1" w:hRule="atLeast"/>
          <w:jc w:val="center"/>
        </w:trPr>
        <w:tc>
          <w:tcPr>
            <w:tcW w:w="1530" w:type="dxa"/>
            <w:vAlign w:val="center"/>
          </w:tcPr>
          <w:p>
            <w:pPr>
              <w:adjustRightInd w:val="0"/>
              <w:snapToGrid w:val="0"/>
              <w:spacing w:line="28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房</w:t>
            </w:r>
          </w:p>
          <w:p>
            <w:pPr>
              <w:adjustRightInd w:val="0"/>
              <w:snapToGrid w:val="0"/>
              <w:spacing w:line="28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屋</w:t>
            </w:r>
          </w:p>
          <w:p>
            <w:pPr>
              <w:adjustRightInd w:val="0"/>
              <w:snapToGrid w:val="0"/>
              <w:spacing w:line="28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设</w:t>
            </w:r>
          </w:p>
          <w:p>
            <w:pPr>
              <w:adjustRightInd w:val="0"/>
              <w:snapToGrid w:val="0"/>
              <w:spacing w:line="28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施</w:t>
            </w:r>
          </w:p>
        </w:tc>
        <w:tc>
          <w:tcPr>
            <w:tcW w:w="4043" w:type="dxa"/>
            <w:vAlign w:val="center"/>
          </w:tcPr>
          <w:p>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（1）具备临床检验用的实验室, 并且内墙表面平整、光洁，操作区的地面应易于去污、清洁；</w:t>
            </w:r>
          </w:p>
          <w:p>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（2）实验室设通风设施，具有器具洗刷和卫生清洁设施；</w:t>
            </w:r>
          </w:p>
          <w:p>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（3）具备防昆虫和防尘设施；</w:t>
            </w:r>
          </w:p>
          <w:p>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（4）具有满足辐射防护要求的存放含放射性核素的分析药盒和废弃污物的设施；</w:t>
            </w:r>
          </w:p>
          <w:p>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（5）具有安全防盗设施。</w:t>
            </w:r>
          </w:p>
          <w:p>
            <w:pPr>
              <w:adjustRightInd w:val="0"/>
              <w:snapToGrid w:val="0"/>
              <w:spacing w:line="280" w:lineRule="exact"/>
              <w:rPr>
                <w:rFonts w:ascii="方正仿宋_GBK" w:hAnsi="方正仿宋_GBK" w:eastAsia="方正仿宋_GBK" w:cs="方正仿宋_GBK"/>
                <w:szCs w:val="21"/>
              </w:rPr>
            </w:pPr>
          </w:p>
        </w:tc>
        <w:tc>
          <w:tcPr>
            <w:tcW w:w="4167" w:type="dxa"/>
            <w:vAlign w:val="center"/>
          </w:tcPr>
          <w:p>
            <w:pPr>
              <w:tabs>
                <w:tab w:val="left" w:pos="720"/>
              </w:tabs>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（1）具有与诊断和治疗相适应的实验室和病房；使用含等效活度1.11GBq以上的碘[</w:t>
            </w:r>
            <w:r>
              <w:rPr>
                <w:rFonts w:hint="eastAsia" w:ascii="方正仿宋_GBK" w:hAnsi="方正仿宋_GBK" w:eastAsia="方正仿宋_GBK" w:cs="方正仿宋_GBK"/>
                <w:szCs w:val="21"/>
                <w:vertAlign w:val="superscript"/>
              </w:rPr>
              <w:t>131</w:t>
            </w:r>
            <w:r>
              <w:rPr>
                <w:rFonts w:hint="eastAsia" w:ascii="方正仿宋_GBK" w:hAnsi="方正仿宋_GBK" w:eastAsia="方正仿宋_GBK" w:cs="方正仿宋_GBK"/>
                <w:szCs w:val="21"/>
              </w:rPr>
              <w:t>I]或其它核素放射性药品治疗的医疗机构应有专用病房；</w:t>
            </w:r>
          </w:p>
          <w:p>
            <w:pPr>
              <w:tabs>
                <w:tab w:val="left" w:pos="720"/>
              </w:tabs>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（2）实验室内墙壁表面平整、光洁，操作区的地面应易于去污、清洁；</w:t>
            </w:r>
          </w:p>
          <w:p>
            <w:pPr>
              <w:tabs>
                <w:tab w:val="left" w:pos="720"/>
              </w:tabs>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（3）实验室内设通风橱；具有放射性药品用具的洗刷和消毒设施等；</w:t>
            </w:r>
          </w:p>
          <w:p>
            <w:pPr>
              <w:tabs>
                <w:tab w:val="left" w:pos="720"/>
              </w:tabs>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（4）具备防昆虫和防尘设施；</w:t>
            </w:r>
          </w:p>
          <w:p>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（5）具有满足辐射防护要求的存放放射性药品和废弃污物的设施；</w:t>
            </w:r>
          </w:p>
          <w:p>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（6）具有安全防盗设施。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7" w:hRule="atLeast"/>
          <w:jc w:val="center"/>
        </w:trPr>
        <w:tc>
          <w:tcPr>
            <w:tcW w:w="1530" w:type="dxa"/>
            <w:vAlign w:val="center"/>
          </w:tcPr>
          <w:p>
            <w:pPr>
              <w:adjustRightInd w:val="0"/>
              <w:snapToGrid w:val="0"/>
              <w:spacing w:line="28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物</w:t>
            </w:r>
          </w:p>
          <w:p>
            <w:pPr>
              <w:adjustRightInd w:val="0"/>
              <w:snapToGrid w:val="0"/>
              <w:spacing w:line="280" w:lineRule="exact"/>
              <w:jc w:val="center"/>
              <w:rPr>
                <w:rFonts w:ascii="方正仿宋_GBK" w:hAnsi="方正仿宋_GBK" w:eastAsia="方正仿宋_GBK" w:cs="方正仿宋_GBK"/>
                <w:szCs w:val="21"/>
              </w:rPr>
            </w:pPr>
          </w:p>
          <w:p>
            <w:pPr>
              <w:adjustRightInd w:val="0"/>
              <w:snapToGrid w:val="0"/>
              <w:spacing w:line="280" w:lineRule="exact"/>
              <w:jc w:val="center"/>
              <w:rPr>
                <w:rFonts w:ascii="方正仿宋_GBK" w:hAnsi="方正仿宋_GBK" w:eastAsia="方正仿宋_GBK" w:cs="方正仿宋_GBK"/>
                <w:szCs w:val="21"/>
              </w:rPr>
            </w:pPr>
          </w:p>
          <w:p>
            <w:pPr>
              <w:adjustRightInd w:val="0"/>
              <w:snapToGrid w:val="0"/>
              <w:spacing w:line="280" w:lineRule="exact"/>
              <w:jc w:val="center"/>
              <w:rPr>
                <w:rFonts w:ascii="方正仿宋_GBK" w:hAnsi="方正仿宋_GBK" w:eastAsia="方正仿宋_GBK" w:cs="方正仿宋_GBK"/>
                <w:szCs w:val="21"/>
              </w:rPr>
            </w:pPr>
          </w:p>
          <w:p>
            <w:pPr>
              <w:adjustRightInd w:val="0"/>
              <w:snapToGrid w:val="0"/>
              <w:spacing w:line="28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料</w:t>
            </w:r>
          </w:p>
        </w:tc>
        <w:tc>
          <w:tcPr>
            <w:tcW w:w="4043" w:type="dxa"/>
            <w:vAlign w:val="center"/>
          </w:tcPr>
          <w:p>
            <w:pPr>
              <w:numPr>
                <w:ilvl w:val="0"/>
                <w:numId w:val="3"/>
              </w:num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放射性药品配套药盒、试剂、除菌过滤器、产品容器、塞盖、注射器等应合法进货渠道及规格标准，并有详细的进料和使用记录。</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（2）具有放射性的废弃物达到排放标准后方可按普通医疗废弃物处理。</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（3）各种放射性物料要严格管理。放射性物料与非放射性物料应分别存放，并有易于识别的明显标志。</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（4）各种物料应按其性能与用途合理存放。对温度、湿度等有特殊要求的物料，应按规定条件储存。</w:t>
            </w:r>
          </w:p>
        </w:tc>
        <w:tc>
          <w:tcPr>
            <w:tcW w:w="4167" w:type="dxa"/>
            <w:vAlign w:val="center"/>
          </w:tcPr>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（1）放射性药品配套药盒、试剂、除菌过滤器、产品容器、塞盖、注射器等应合法进货渠道及规格标准，并有详细的进料和使用记录。</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（2）具有放射性的废弃物达到排放标准后方可按普通医疗废弃物处理。（3）各种放射性物料要严格管理。放射性物料与非放射性物料应分别存放，并有易于识别的明显标志。</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（4）各种物料应按其性能与用途合理存放。对温度、湿度等有特殊要求的物料，应按规定条件储存。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3" w:hRule="atLeast"/>
          <w:jc w:val="center"/>
        </w:trPr>
        <w:tc>
          <w:tcPr>
            <w:tcW w:w="1530" w:type="dxa"/>
            <w:vAlign w:val="center"/>
          </w:tcPr>
          <w:p>
            <w:pPr>
              <w:adjustRightInd w:val="0"/>
              <w:snapToGrid w:val="0"/>
              <w:spacing w:line="28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卫</w:t>
            </w:r>
          </w:p>
          <w:p>
            <w:pPr>
              <w:adjustRightInd w:val="0"/>
              <w:snapToGrid w:val="0"/>
              <w:spacing w:line="280" w:lineRule="exact"/>
              <w:jc w:val="center"/>
              <w:rPr>
                <w:rFonts w:ascii="方正仿宋_GBK" w:hAnsi="方正仿宋_GBK" w:eastAsia="方正仿宋_GBK" w:cs="方正仿宋_GBK"/>
                <w:szCs w:val="21"/>
              </w:rPr>
            </w:pPr>
          </w:p>
          <w:p>
            <w:pPr>
              <w:adjustRightInd w:val="0"/>
              <w:snapToGrid w:val="0"/>
              <w:spacing w:line="280" w:lineRule="exact"/>
              <w:jc w:val="center"/>
              <w:rPr>
                <w:rFonts w:ascii="方正仿宋_GBK" w:hAnsi="方正仿宋_GBK" w:eastAsia="方正仿宋_GBK" w:cs="方正仿宋_GBK"/>
                <w:szCs w:val="21"/>
              </w:rPr>
            </w:pPr>
          </w:p>
          <w:p>
            <w:pPr>
              <w:adjustRightInd w:val="0"/>
              <w:snapToGrid w:val="0"/>
              <w:spacing w:line="280" w:lineRule="exact"/>
              <w:jc w:val="center"/>
              <w:rPr>
                <w:rFonts w:ascii="方正仿宋_GBK" w:hAnsi="方正仿宋_GBK" w:eastAsia="方正仿宋_GBK" w:cs="方正仿宋_GBK"/>
                <w:szCs w:val="21"/>
              </w:rPr>
            </w:pPr>
          </w:p>
          <w:p>
            <w:pPr>
              <w:adjustRightInd w:val="0"/>
              <w:snapToGrid w:val="0"/>
              <w:spacing w:line="28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生</w:t>
            </w:r>
          </w:p>
        </w:tc>
        <w:tc>
          <w:tcPr>
            <w:tcW w:w="4043" w:type="dxa"/>
            <w:vAlign w:val="center"/>
          </w:tcPr>
          <w:p>
            <w:pPr>
              <w:numPr>
                <w:ilvl w:val="0"/>
                <w:numId w:val="4"/>
              </w:num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应有防止微生物污染及辐射污染的卫生措施和卫生管理制度，并由专人负责。</w:t>
            </w:r>
          </w:p>
          <w:p>
            <w:pPr>
              <w:numPr>
                <w:ilvl w:val="0"/>
                <w:numId w:val="4"/>
              </w:num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操作放射性物质的人员必须配带个人剂量计，并定期监测。个人所受的剂量当量不应超过规定的限值。在放射性场所工作的人员应取得职业病防治部门定期出具的放射性个人计量报告并存档。</w:t>
            </w:r>
          </w:p>
        </w:tc>
        <w:tc>
          <w:tcPr>
            <w:tcW w:w="4167" w:type="dxa"/>
            <w:vAlign w:val="center"/>
          </w:tcPr>
          <w:p>
            <w:pPr>
              <w:numPr>
                <w:ilvl w:val="0"/>
                <w:numId w:val="5"/>
              </w:num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应有防止微生物污染及辐射污染的卫生措施和卫生管理制度，并由专人负责。</w:t>
            </w:r>
          </w:p>
          <w:p>
            <w:pPr>
              <w:numPr>
                <w:ilvl w:val="0"/>
                <w:numId w:val="5"/>
              </w:num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操作放射性物质的人员必须配带个人剂量计，并定期监测。个人所受的剂量当量不应超过规定的限值。在放射性场所工作的人员应取得职业病防治部门定期出具的放射性个人计量报告并存档。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 w:hRule="atLeast"/>
          <w:jc w:val="center"/>
        </w:trPr>
        <w:tc>
          <w:tcPr>
            <w:tcW w:w="1530" w:type="dxa"/>
            <w:vAlign w:val="center"/>
          </w:tcPr>
          <w:p>
            <w:pPr>
              <w:adjustRightInd w:val="0"/>
              <w:snapToGrid w:val="0"/>
              <w:spacing w:line="28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文</w:t>
            </w:r>
          </w:p>
          <w:p>
            <w:pPr>
              <w:adjustRightInd w:val="0"/>
              <w:snapToGrid w:val="0"/>
              <w:spacing w:line="280" w:lineRule="exact"/>
              <w:jc w:val="center"/>
              <w:rPr>
                <w:rFonts w:ascii="方正仿宋_GBK" w:hAnsi="方正仿宋_GBK" w:eastAsia="方正仿宋_GBK" w:cs="方正仿宋_GBK"/>
                <w:szCs w:val="21"/>
              </w:rPr>
            </w:pPr>
          </w:p>
          <w:p>
            <w:pPr>
              <w:adjustRightInd w:val="0"/>
              <w:snapToGrid w:val="0"/>
              <w:spacing w:line="280" w:lineRule="exact"/>
              <w:jc w:val="center"/>
              <w:rPr>
                <w:rFonts w:ascii="方正仿宋_GBK" w:hAnsi="方正仿宋_GBK" w:eastAsia="方正仿宋_GBK" w:cs="方正仿宋_GBK"/>
                <w:szCs w:val="21"/>
              </w:rPr>
            </w:pPr>
          </w:p>
          <w:p>
            <w:pPr>
              <w:adjustRightInd w:val="0"/>
              <w:snapToGrid w:val="0"/>
              <w:spacing w:line="280" w:lineRule="exact"/>
              <w:jc w:val="center"/>
              <w:rPr>
                <w:rFonts w:ascii="方正仿宋_GBK" w:hAnsi="方正仿宋_GBK" w:eastAsia="方正仿宋_GBK" w:cs="方正仿宋_GBK"/>
                <w:szCs w:val="21"/>
              </w:rPr>
            </w:pPr>
          </w:p>
          <w:p>
            <w:pPr>
              <w:adjustRightInd w:val="0"/>
              <w:snapToGrid w:val="0"/>
              <w:spacing w:line="28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件</w:t>
            </w:r>
          </w:p>
        </w:tc>
        <w:tc>
          <w:tcPr>
            <w:tcW w:w="4043" w:type="dxa"/>
            <w:vAlign w:val="center"/>
          </w:tcPr>
          <w:p>
            <w:pPr>
              <w:numPr>
                <w:ilvl w:val="0"/>
                <w:numId w:val="6"/>
              </w:num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应具有《放射性药品使用许可证》的申报文件、整改记录；各级监管部门监督检查文件及记录。</w:t>
            </w:r>
          </w:p>
          <w:p>
            <w:pPr>
              <w:numPr>
                <w:ilvl w:val="0"/>
                <w:numId w:val="6"/>
              </w:num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有使用管理、质量管理的各项制度和记录。至少应有：放射性药品采购、登记、使用、核对、保管及注销制度；仪器设备的使用、管理制度；体内放射性药品使用、观察制度；卫生防护和废物处理制度；放射性药品不良反应、放射性污染的紧急处理及报告制度。</w:t>
            </w:r>
          </w:p>
          <w:p>
            <w:pPr>
              <w:numPr>
                <w:ilvl w:val="0"/>
                <w:numId w:val="6"/>
              </w:num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建立文件的起草、修订、审查、批准及保管的制度。使用的文件应为批准的现行文本，已撤销和过时的文件除留档备查外，不得在工作现场出现；文件的制订、审查和批准的责任应明确，并有责任人签名；有关放射性药品配制记录和质量检验记录应完整归档，至少保存3年备查。</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（4）必须建立放射性物质的贮存、领取、使用、归还制度，并有记录。</w:t>
            </w:r>
          </w:p>
        </w:tc>
        <w:tc>
          <w:tcPr>
            <w:tcW w:w="4167" w:type="dxa"/>
            <w:vAlign w:val="center"/>
          </w:tcPr>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（1）应具有《放射性药品使用许可证》的申报文件、整改记录；各级监管部门监督检查文件及记录。</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应有使用管理、质量管理的各项制度和记录。至少应有：放射性药品采购、登记、使用、核对、保管及注销制度；仪器设备的使用、管理制度；体内放射性药品使用、观察制度；卫生防护和废物处理制度；放射性药品不良反应、放射性污染的紧急处理及报告制度。</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应建立文件的起草、修订、审查、批准及保管的制度。使用的文件应为批准的现行文本，已撤销和过时的文件除留档备查外，不得在工作现场出现；文件的制订、审查和批准的责任应明确，并有责任人签名；有关放射性药品配制记录和质量检验记录应完整归档，至少保存3年备查。</w:t>
            </w:r>
          </w:p>
          <w:p>
            <w:pPr>
              <w:adjustRightInd w:val="0"/>
              <w:snapToGrid w:val="0"/>
              <w:spacing w:line="2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（4）必须建立放射性物质的贮存、领取、使用、归还制度，并有记录。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3" w:hRule="atLeast"/>
          <w:jc w:val="center"/>
        </w:trPr>
        <w:tc>
          <w:tcPr>
            <w:tcW w:w="1530" w:type="dxa"/>
            <w:vAlign w:val="center"/>
          </w:tcPr>
          <w:p>
            <w:pPr>
              <w:adjustRightInd w:val="0"/>
              <w:snapToGrid w:val="0"/>
              <w:spacing w:line="28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使</w:t>
            </w:r>
          </w:p>
          <w:p>
            <w:pPr>
              <w:adjustRightInd w:val="0"/>
              <w:snapToGrid w:val="0"/>
              <w:spacing w:line="28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用</w:t>
            </w:r>
          </w:p>
          <w:p>
            <w:pPr>
              <w:adjustRightInd w:val="0"/>
              <w:snapToGrid w:val="0"/>
              <w:spacing w:line="28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管</w:t>
            </w:r>
          </w:p>
          <w:p>
            <w:pPr>
              <w:adjustRightInd w:val="0"/>
              <w:snapToGrid w:val="0"/>
              <w:spacing w:line="28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理</w:t>
            </w:r>
          </w:p>
        </w:tc>
        <w:tc>
          <w:tcPr>
            <w:tcW w:w="4043" w:type="dxa"/>
            <w:vAlign w:val="center"/>
          </w:tcPr>
          <w:p>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（1）放射性药品验收、发放、分装、使用必须有完整的记录或凭据。</w:t>
            </w:r>
          </w:p>
          <w:p>
            <w:pPr>
              <w:numPr>
                <w:ilvl w:val="0"/>
                <w:numId w:val="7"/>
              </w:num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放射性药品使用过程中发现的不良反应，应按《药品不良反应监测管理办法》的规定予以记录，填表上报。保留病历和有关检验、检查报告单等原始记录至少一年备查。</w:t>
            </w:r>
          </w:p>
        </w:tc>
        <w:tc>
          <w:tcPr>
            <w:tcW w:w="4167" w:type="dxa"/>
            <w:vAlign w:val="center"/>
          </w:tcPr>
          <w:p>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（1）放射性药品验收、发放、分装、使用必须有完整的记录或凭据。</w:t>
            </w:r>
          </w:p>
          <w:p>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（2）放射性药品使用过程中发现的不良反应，应按《药品不良反应监测管理办法》的规定予以记录，填表上报。保留病历和有关检验、检查报告单等原始记录至少一年备查。</w:t>
            </w:r>
          </w:p>
        </w:tc>
      </w:tr>
    </w:tbl>
    <w:p>
      <w:pPr>
        <w:widowControl/>
        <w:adjustRightInd w:val="0"/>
        <w:snapToGrid w:val="0"/>
        <w:spacing w:line="400" w:lineRule="exact"/>
        <w:jc w:val="left"/>
        <w:rPr>
          <w:rFonts w:ascii="方正黑体_GBK" w:hAnsi="方正黑体_GBK" w:eastAsia="方正黑体_GBK" w:cs="方正黑体_GBK"/>
          <w:kern w:val="0"/>
          <w:sz w:val="28"/>
          <w:szCs w:val="28"/>
        </w:rPr>
      </w:pPr>
    </w:p>
    <w:p>
      <w:pPr>
        <w:widowControl/>
        <w:adjustRightInd w:val="0"/>
        <w:snapToGrid w:val="0"/>
        <w:spacing w:line="480" w:lineRule="exact"/>
        <w:jc w:val="left"/>
        <w:rPr>
          <w:rFonts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 xml:space="preserve">    三、应当提交的资料</w:t>
      </w:r>
    </w:p>
    <w:p>
      <w:pPr>
        <w:pStyle w:val="7"/>
        <w:adjustRightInd w:val="0"/>
        <w:snapToGrid w:val="0"/>
        <w:spacing w:line="48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1</w:t>
      </w:r>
      <w:r>
        <w:rPr>
          <w:rFonts w:hint="eastAsia" w:ascii="方正仿宋_GBK" w:hAnsi="仿宋" w:eastAsia="方正仿宋_GBK" w:cs="Arial"/>
          <w:sz w:val="28"/>
          <w:szCs w:val="28"/>
          <w:lang w:val="en-US" w:eastAsia="zh-CN"/>
        </w:rPr>
        <w:t>.</w:t>
      </w:r>
      <w:r>
        <w:rPr>
          <w:rFonts w:hint="eastAsia" w:ascii="方正仿宋_GBK" w:hAnsi="仿宋" w:eastAsia="方正仿宋_GBK" w:cs="Arial"/>
          <w:sz w:val="28"/>
          <w:szCs w:val="28"/>
        </w:rPr>
        <w:t>《放射性药品使用许可证核（换）发申请表》；</w:t>
      </w:r>
    </w:p>
    <w:p>
      <w:pPr>
        <w:pStyle w:val="7"/>
        <w:adjustRightInd w:val="0"/>
        <w:snapToGrid w:val="0"/>
        <w:spacing w:line="48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2</w:t>
      </w:r>
      <w:r>
        <w:rPr>
          <w:rFonts w:hint="eastAsia" w:ascii="方正仿宋_GBK" w:hAnsi="仿宋" w:eastAsia="方正仿宋_GBK" w:cs="Arial"/>
          <w:sz w:val="28"/>
          <w:szCs w:val="28"/>
          <w:lang w:val="en-US" w:eastAsia="zh-CN"/>
        </w:rPr>
        <w:t>.</w:t>
      </w:r>
      <w:r>
        <w:rPr>
          <w:rFonts w:hint="eastAsia" w:ascii="方正仿宋_GBK" w:hAnsi="仿宋" w:eastAsia="方正仿宋_GBK" w:cs="Arial"/>
          <w:sz w:val="28"/>
          <w:szCs w:val="28"/>
        </w:rPr>
        <w:t>原《放射性药品使用许可证》正、副本原件及全本复印件（新申请的可不提供）；</w:t>
      </w:r>
    </w:p>
    <w:p>
      <w:pPr>
        <w:pStyle w:val="7"/>
        <w:adjustRightInd w:val="0"/>
        <w:snapToGrid w:val="0"/>
        <w:spacing w:line="48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3</w:t>
      </w:r>
      <w:r>
        <w:rPr>
          <w:rFonts w:hint="eastAsia" w:ascii="方正仿宋_GBK" w:hAnsi="仿宋" w:eastAsia="方正仿宋_GBK" w:cs="Arial"/>
          <w:sz w:val="28"/>
          <w:szCs w:val="28"/>
          <w:lang w:val="en-US" w:eastAsia="zh-CN"/>
        </w:rPr>
        <w:t>.</w:t>
      </w:r>
      <w:r>
        <w:rPr>
          <w:rFonts w:hint="eastAsia" w:ascii="方正仿宋_GBK" w:hAnsi="仿宋" w:eastAsia="方正仿宋_GBK" w:cs="Arial"/>
          <w:sz w:val="28"/>
          <w:szCs w:val="28"/>
        </w:rPr>
        <w:t>《医疗机构执业许可证》、《放射诊疗许可证》、《辐射安全许可证》正、副本全本复印件；</w:t>
      </w:r>
    </w:p>
    <w:p>
      <w:pPr>
        <w:pStyle w:val="7"/>
        <w:adjustRightInd w:val="0"/>
        <w:snapToGrid w:val="0"/>
        <w:spacing w:line="48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4.放射性药品使用场所的基本情况（内容包括与使用核素相适应的面积、周围环境、基础设施等条件的说明，使用场所布局平面图等）；</w:t>
      </w:r>
    </w:p>
    <w:p>
      <w:pPr>
        <w:pStyle w:val="7"/>
        <w:adjustRightInd w:val="0"/>
        <w:snapToGrid w:val="0"/>
        <w:spacing w:line="48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5.一、二类放射性药品使用许可质量管理情况的自查报告，自查内容见《放射性药品使用许可证》许可条件对照表</w:t>
      </w:r>
      <w:r>
        <w:rPr>
          <w:rFonts w:hint="eastAsia" w:ascii="方正仿宋_GBK" w:hAnsi="仿宋" w:eastAsia="方正仿宋_GBK" w:cs="Arial"/>
          <w:sz w:val="28"/>
          <w:szCs w:val="28"/>
          <w:lang w:eastAsia="zh-CN"/>
        </w:rPr>
        <w:t>；</w:t>
      </w:r>
    </w:p>
    <w:p>
      <w:pPr>
        <w:pStyle w:val="7"/>
        <w:adjustRightInd w:val="0"/>
        <w:snapToGrid w:val="0"/>
        <w:spacing w:line="480" w:lineRule="exact"/>
        <w:ind w:firstLine="560" w:firstLineChars="200"/>
        <w:rPr>
          <w:rFonts w:hint="eastAsia" w:ascii="方正仿宋_GBK" w:hAnsi="仿宋" w:eastAsia="方正仿宋_GBK" w:cs="Arial"/>
          <w:sz w:val="28"/>
          <w:szCs w:val="28"/>
        </w:rPr>
      </w:pPr>
      <w:r>
        <w:rPr>
          <w:rFonts w:hint="eastAsia" w:ascii="方正仿宋_GBK" w:hAnsi="仿宋" w:eastAsia="方正仿宋_GBK" w:cs="Arial"/>
          <w:sz w:val="28"/>
          <w:szCs w:val="28"/>
        </w:rPr>
        <w:t>6.受法定代表人委托的经办人，应当提供经办人身份证复印件和法定代表人签章的《授权委托书》原件</w:t>
      </w:r>
      <w:r>
        <w:rPr>
          <w:rFonts w:hint="eastAsia" w:ascii="方正仿宋_GBK" w:hAnsi="仿宋" w:eastAsia="方正仿宋_GBK" w:cs="Arial"/>
          <w:sz w:val="28"/>
          <w:szCs w:val="28"/>
          <w:lang w:val="en-US" w:eastAsia="zh-CN"/>
        </w:rPr>
        <w:t>；</w:t>
      </w:r>
    </w:p>
    <w:p>
      <w:pPr>
        <w:pStyle w:val="7"/>
        <w:adjustRightInd w:val="0"/>
        <w:snapToGrid w:val="0"/>
        <w:spacing w:line="480" w:lineRule="exact"/>
        <w:rPr>
          <w:rFonts w:hint="eastAsia" w:ascii="方正仿宋_GBK" w:hAnsi="仿宋" w:eastAsia="方正仿宋_GBK" w:cs="Arial"/>
          <w:sz w:val="28"/>
          <w:szCs w:val="28"/>
          <w:lang w:val="en-US" w:eastAsia="zh-CN"/>
        </w:rPr>
      </w:pPr>
      <w:r>
        <w:rPr>
          <w:rFonts w:hint="eastAsia" w:ascii="方正仿宋_GBK" w:hAnsi="仿宋" w:eastAsia="方正仿宋_GBK" w:cs="Arial"/>
          <w:sz w:val="28"/>
          <w:szCs w:val="28"/>
          <w:lang w:val="en-US" w:eastAsia="zh-CN"/>
        </w:rPr>
        <w:t xml:space="preserve">    7.</w:t>
      </w:r>
      <w:r>
        <w:rPr>
          <w:rFonts w:hint="eastAsia" w:ascii="方正仿宋_GBK" w:hAnsi="仿宋" w:eastAsia="方正仿宋_GBK" w:cs="Arial"/>
          <w:sz w:val="28"/>
          <w:szCs w:val="28"/>
        </w:rPr>
        <w:t>《放射性药品使用许可证》</w:t>
      </w:r>
      <w:r>
        <w:rPr>
          <w:rFonts w:hint="eastAsia" w:ascii="方正仿宋_GBK" w:hAnsi="仿宋" w:eastAsia="方正仿宋_GBK" w:cs="Arial"/>
          <w:sz w:val="28"/>
          <w:szCs w:val="28"/>
          <w:lang w:val="en-US" w:eastAsia="zh-CN"/>
        </w:rPr>
        <w:t>(一、二类）</w:t>
      </w:r>
      <w:r>
        <w:rPr>
          <w:rFonts w:hint="eastAsia" w:ascii="方正仿宋_GBK" w:hAnsi="仿宋_GB2312" w:eastAsia="方正仿宋_GBK"/>
          <w:spacing w:val="-4"/>
          <w:sz w:val="28"/>
          <w:szCs w:val="28"/>
        </w:rPr>
        <w:t>告知承诺书</w:t>
      </w:r>
      <w:r>
        <w:rPr>
          <w:rFonts w:hint="eastAsia" w:ascii="方正仿宋_GBK" w:hAnsi="仿宋_GB2312" w:eastAsia="方正仿宋_GBK"/>
          <w:spacing w:val="-4"/>
          <w:sz w:val="28"/>
          <w:szCs w:val="28"/>
          <w:lang w:eastAsia="zh-CN"/>
        </w:rPr>
        <w:t>（一式三份并加盖鲜章）。</w:t>
      </w:r>
    </w:p>
    <w:p>
      <w:pPr>
        <w:pStyle w:val="7"/>
        <w:adjustRightInd w:val="0"/>
        <w:snapToGrid w:val="0"/>
        <w:spacing w:line="480" w:lineRule="exact"/>
        <w:rPr>
          <w:rFonts w:hint="eastAsia" w:ascii="方正仿宋_GBK" w:hAnsi="仿宋" w:eastAsia="方正仿宋_GBK" w:cs="Arial"/>
          <w:sz w:val="28"/>
          <w:szCs w:val="28"/>
          <w:lang w:val="en-US" w:eastAsia="zh-CN"/>
        </w:rPr>
      </w:pPr>
      <w:r>
        <w:rPr>
          <w:rFonts w:hint="eastAsia" w:ascii="方正仿宋_GBK" w:hAnsi="仿宋" w:eastAsia="方正仿宋_GBK" w:cs="Arial"/>
          <w:sz w:val="28"/>
          <w:szCs w:val="28"/>
          <w:lang w:val="en-US" w:eastAsia="zh-CN"/>
        </w:rPr>
        <w:t xml:space="preserve">    以上1-6项资料一式两份，分别装入两个档案袋中，复印件加盖鲜章、</w:t>
      </w:r>
      <w:r>
        <w:rPr>
          <w:rFonts w:hint="eastAsia" w:ascii="方正仿宋_GBK" w:hAnsi="仿宋" w:eastAsia="方正仿宋_GBK" w:cs="Arial"/>
          <w:sz w:val="28"/>
          <w:szCs w:val="28"/>
        </w:rPr>
        <w:t>骑缝章</w:t>
      </w:r>
      <w:r>
        <w:rPr>
          <w:rFonts w:hint="eastAsia" w:ascii="方正仿宋_GBK" w:hAnsi="仿宋" w:eastAsia="方正仿宋_GBK" w:cs="Arial"/>
          <w:sz w:val="28"/>
          <w:szCs w:val="28"/>
          <w:lang w:eastAsia="zh-CN"/>
        </w:rPr>
        <w:t>。</w:t>
      </w:r>
    </w:p>
    <w:p>
      <w:pPr>
        <w:pStyle w:val="7"/>
        <w:adjustRightInd w:val="0"/>
        <w:snapToGrid w:val="0"/>
        <w:spacing w:line="480" w:lineRule="exact"/>
        <w:rPr>
          <w:rFonts w:ascii="方正仿宋_GBK" w:hAnsi="方正仿宋_GBK" w:eastAsia="方正仿宋_GBK" w:cs="方正仿宋_GBK"/>
          <w:sz w:val="28"/>
          <w:szCs w:val="28"/>
        </w:rPr>
      </w:pPr>
      <w:r>
        <w:rPr>
          <w:rFonts w:hint="eastAsia" w:ascii="方正仿宋_GBK" w:hAnsi="仿宋" w:eastAsia="方正仿宋_GBK" w:cs="Arial"/>
          <w:sz w:val="28"/>
          <w:szCs w:val="28"/>
        </w:rPr>
        <w:t xml:space="preserve">    </w:t>
      </w:r>
      <w:r>
        <w:rPr>
          <w:rFonts w:hint="eastAsia" w:ascii="方正黑体_GBK" w:hAnsi="方正黑体_GBK" w:eastAsia="方正黑体_GBK" w:cs="方正黑体_GBK"/>
          <w:sz w:val="28"/>
          <w:szCs w:val="28"/>
        </w:rPr>
        <w:t>四、已经提交和需要补充提交的材料</w:t>
      </w:r>
    </w:p>
    <w:p>
      <w:pPr>
        <w:adjustRightInd w:val="0"/>
        <w:snapToGrid w:val="0"/>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1.下列材料，申请人已经提交：</w:t>
      </w:r>
    </w:p>
    <w:p>
      <w:pPr>
        <w:adjustRightInd w:val="0"/>
        <w:snapToGrid w:val="0"/>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w:t>
      </w:r>
    </w:p>
    <w:p>
      <w:pPr>
        <w:numPr>
          <w:ilvl w:val="0"/>
          <w:numId w:val="8"/>
        </w:numPr>
        <w:adjustRightInd w:val="0"/>
        <w:snapToGrid w:val="0"/>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下列材料，申请人应当</w:t>
      </w:r>
    </w:p>
    <w:p>
      <w:pPr>
        <w:adjustRightInd w:val="0"/>
        <w:snapToGrid w:val="0"/>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日前提交</w:t>
      </w:r>
    </w:p>
    <w:p>
      <w:pPr>
        <w:adjustRightInd w:val="0"/>
        <w:snapToGrid w:val="0"/>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□在行政审批机关对承诺内容是否属实进行检查提交：</w:t>
      </w:r>
    </w:p>
    <w:p>
      <w:pPr>
        <w:adjustRightInd w:val="0"/>
        <w:snapToGrid w:val="0"/>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w:t>
      </w:r>
    </w:p>
    <w:p>
      <w:pPr>
        <w:adjustRightInd w:val="0"/>
        <w:snapToGrid w:val="0"/>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（以上由工作人员填写）</w:t>
      </w:r>
    </w:p>
    <w:p>
      <w:pPr>
        <w:numPr>
          <w:numId w:val="0"/>
        </w:numPr>
        <w:adjustRightInd w:val="0"/>
        <w:snapToGrid w:val="0"/>
        <w:spacing w:line="480" w:lineRule="exact"/>
        <w:rPr>
          <w:rFonts w:ascii="方正仿宋_GBK" w:hAnsi="方正仿宋_GBK" w:eastAsia="方正仿宋_GBK" w:cs="方正仿宋_GBK"/>
          <w:sz w:val="28"/>
          <w:szCs w:val="28"/>
        </w:rPr>
      </w:pPr>
      <w:r>
        <w:rPr>
          <w:rFonts w:hint="eastAsia" w:ascii="方正黑体_GBK" w:hAnsi="方正黑体_GBK" w:eastAsia="方正黑体_GBK" w:cs="方正黑体_GBK"/>
          <w:sz w:val="28"/>
          <w:szCs w:val="28"/>
          <w:lang w:val="en-US" w:eastAsia="zh-CN"/>
        </w:rPr>
        <w:t xml:space="preserve">    </w:t>
      </w:r>
      <w:r>
        <w:rPr>
          <w:rFonts w:hint="eastAsia" w:ascii="方正黑体_GBK" w:hAnsi="方正黑体_GBK" w:eastAsia="方正黑体_GBK" w:cs="方正黑体_GBK"/>
          <w:sz w:val="28"/>
          <w:szCs w:val="28"/>
          <w:lang w:eastAsia="zh-CN"/>
        </w:rPr>
        <w:t>五、</w:t>
      </w:r>
      <w:r>
        <w:rPr>
          <w:rFonts w:hint="eastAsia" w:ascii="方正黑体_GBK" w:hAnsi="方正黑体_GBK" w:eastAsia="方正黑体_GBK" w:cs="方正黑体_GBK"/>
          <w:sz w:val="28"/>
          <w:szCs w:val="28"/>
        </w:rPr>
        <w:t>承诺的期限和效力</w:t>
      </w:r>
    </w:p>
    <w:p>
      <w:pPr>
        <w:adjustRightInd w:val="0"/>
        <w:snapToGrid w:val="0"/>
        <w:spacing w:line="48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申请人作出符合上述申请条件的承诺，并提交签章的告知承诺书后，行政审批机关将当场作出行政审批决定。</w:t>
      </w:r>
    </w:p>
    <w:p>
      <w:pPr>
        <w:adjustRightInd w:val="0"/>
        <w:snapToGrid w:val="0"/>
        <w:spacing w:line="480" w:lineRule="exact"/>
        <w:ind w:right="29" w:rightChars="14"/>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申请人逾期不作出承诺的，行政审批机关将按照法律、法规和规章的有关规定实施行政审批。申请人作出不实承诺的，行政</w:t>
      </w:r>
      <w:r>
        <w:rPr>
          <w:rFonts w:hint="eastAsia" w:ascii="方正仿宋_GBK" w:hAnsi="方正仿宋_GBK" w:eastAsia="方正仿宋_GBK" w:cs="方正仿宋_GBK"/>
          <w:sz w:val="28"/>
          <w:szCs w:val="28"/>
          <w:lang w:eastAsia="zh-CN"/>
        </w:rPr>
        <w:t>审批</w:t>
      </w:r>
      <w:r>
        <w:rPr>
          <w:rFonts w:hint="eastAsia" w:ascii="方正仿宋_GBK" w:hAnsi="方正仿宋_GBK" w:eastAsia="方正仿宋_GBK" w:cs="方正仿宋_GBK"/>
          <w:sz w:val="28"/>
          <w:szCs w:val="28"/>
        </w:rPr>
        <w:t>机关将依法作出处理，并由申请人依法承担相应的法律责任。</w:t>
      </w:r>
    </w:p>
    <w:p>
      <w:pPr>
        <w:adjustRightInd w:val="0"/>
        <w:snapToGrid w:val="0"/>
        <w:spacing w:line="480" w:lineRule="exact"/>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 xml:space="preserve">    六、监督和法律责任</w:t>
      </w:r>
    </w:p>
    <w:p>
      <w:pPr>
        <w:adjustRightInd w:val="0"/>
        <w:snapToGrid w:val="0"/>
        <w:spacing w:line="48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1.申请人应当在本告知承诺书约定的期限内提交应补充的材料。未提交材料或者提交的材料不符合要求且无法补正的，将依法销行政审批决定。</w:t>
      </w:r>
    </w:p>
    <w:p>
      <w:pPr>
        <w:adjustRightInd w:val="0"/>
        <w:snapToGrid w:val="0"/>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2.申请人未取</w:t>
      </w:r>
      <w:r>
        <w:rPr>
          <w:rFonts w:hint="eastAsia" w:ascii="方正仿宋_GBK" w:hAnsi="方正仿宋_GBK" w:eastAsia="方正仿宋_GBK" w:cs="方正仿宋_GBK"/>
          <w:spacing w:val="6"/>
          <w:sz w:val="28"/>
          <w:szCs w:val="28"/>
        </w:rPr>
        <w:t>得《放射性药品使用许可证》的，不得擅自使用放射性药品。</w:t>
      </w:r>
    </w:p>
    <w:p>
      <w:pPr>
        <w:adjustRightInd w:val="0"/>
        <w:snapToGrid w:val="0"/>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3.申请人取得《放射性药品使用许可证》后，应接受本行政机关的监督和检查，并在使用中遵守放射性药品使用的法律、法规、规章、标准及规范性文件的规定。</w:t>
      </w:r>
    </w:p>
    <w:p>
      <w:pPr>
        <w:adjustRightInd w:val="0"/>
        <w:snapToGrid w:val="0"/>
        <w:spacing w:line="48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本行政机关3个月内对已取得《放射性药品使用许可证》的单位，按照《放射性药品使用许可证》许可条件对照表进行监督检查，每年对已取得《放射性药品使用许可证》的医疗机构进行不少于1次的监督检查。检查中发现实际情况与承诺内容不符的，立即要求限期整改；经整改后仍不符合要求的，依法撤销行政许可决定。</w:t>
      </w:r>
    </w:p>
    <w:p>
      <w:pPr>
        <w:adjustRightInd w:val="0"/>
        <w:snapToGrid w:val="0"/>
        <w:spacing w:line="48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5.申请人若需变更、补办、注销《放射性药品使用许可证》，应及时到本行政机关办理相关手续。</w:t>
      </w:r>
    </w:p>
    <w:p>
      <w:pPr>
        <w:adjustRightInd w:val="0"/>
        <w:snapToGrid w:val="0"/>
        <w:spacing w:line="480" w:lineRule="exact"/>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lang w:val="en-US" w:eastAsia="zh-CN"/>
        </w:rPr>
        <w:t xml:space="preserve">    </w:t>
      </w:r>
      <w:r>
        <w:rPr>
          <w:rFonts w:hint="eastAsia" w:ascii="方正黑体_GBK" w:hAnsi="方正黑体_GBK" w:eastAsia="方正黑体_GBK" w:cs="方正黑体_GBK"/>
          <w:sz w:val="28"/>
          <w:szCs w:val="28"/>
        </w:rPr>
        <w:t>七、诚信管理</w:t>
      </w:r>
    </w:p>
    <w:p>
      <w:pPr>
        <w:adjustRightInd w:val="0"/>
        <w:snapToGrid w:val="0"/>
        <w:spacing w:line="48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rPr>
        <w:t xml:space="preserve"> 对申请人作出承诺后，未在承诺期限内提交材料的，将在行政审批机关的诚信档案系统留下记录，对申请人以后的同一行审批申请，不再适用告知承诺的审批方式。</w:t>
      </w:r>
    </w:p>
    <w:p>
      <w:pPr>
        <w:jc w:val="center"/>
        <w:rPr>
          <w:rFonts w:ascii="方正小标宋_GBK" w:hAnsi="方正小标宋_GBK" w:eastAsia="方正小标宋_GBK" w:cs="方正小标宋_GBK"/>
          <w:spacing w:val="28"/>
          <w:sz w:val="36"/>
          <w:szCs w:val="36"/>
        </w:rPr>
      </w:pPr>
    </w:p>
    <w:p>
      <w:pPr>
        <w:jc w:val="center"/>
        <w:rPr>
          <w:rFonts w:ascii="方正小标宋_GBK" w:hAnsi="方正小标宋_GBK" w:eastAsia="方正小标宋_GBK" w:cs="方正小标宋_GBK"/>
          <w:spacing w:val="28"/>
          <w:sz w:val="36"/>
          <w:szCs w:val="36"/>
        </w:rPr>
      </w:pPr>
    </w:p>
    <w:p>
      <w:pPr>
        <w:jc w:val="center"/>
        <w:rPr>
          <w:rFonts w:ascii="方正小标宋_GBK" w:hAnsi="方正小标宋_GBK" w:eastAsia="方正小标宋_GBK" w:cs="方正小标宋_GBK"/>
          <w:spacing w:val="28"/>
          <w:sz w:val="36"/>
          <w:szCs w:val="36"/>
        </w:rPr>
      </w:pPr>
    </w:p>
    <w:p>
      <w:pPr>
        <w:snapToGrid w:val="0"/>
        <w:spacing w:line="600" w:lineRule="exact"/>
        <w:jc w:val="center"/>
        <w:rPr>
          <w:rFonts w:hint="eastAsia" w:ascii="方正小标宋_GBK" w:hAnsi="方正小标宋_GBK" w:eastAsia="方正小标宋_GBK" w:cs="方正小标宋_GBK"/>
          <w:spacing w:val="28"/>
          <w:sz w:val="36"/>
          <w:szCs w:val="36"/>
        </w:rPr>
        <w:sectPr>
          <w:pgSz w:w="11906" w:h="16838"/>
          <w:pgMar w:top="1417" w:right="1474" w:bottom="1417" w:left="1474" w:header="851" w:footer="992" w:gutter="0"/>
          <w:cols w:space="720" w:num="1"/>
          <w:docGrid w:type="lines" w:linePitch="312" w:charSpace="0"/>
        </w:sectPr>
      </w:pPr>
    </w:p>
    <w:p>
      <w:pPr>
        <w:snapToGrid w:val="0"/>
        <w:spacing w:line="600" w:lineRule="exact"/>
        <w:jc w:val="center"/>
        <w:rPr>
          <w:rFonts w:hint="eastAsia" w:ascii="方正小标宋_GBK" w:hAnsi="方正小标宋_GBK" w:eastAsia="方正小标宋_GBK" w:cs="方正小标宋_GBK"/>
          <w:spacing w:val="28"/>
          <w:sz w:val="36"/>
          <w:szCs w:val="36"/>
        </w:rPr>
      </w:pPr>
      <w:r>
        <w:rPr>
          <w:rFonts w:hint="eastAsia" w:ascii="方正小标宋_GBK" w:hAnsi="方正小标宋_GBK" w:eastAsia="方正小标宋_GBK" w:cs="方正小标宋_GBK"/>
          <w:spacing w:val="28"/>
          <w:sz w:val="36"/>
          <w:szCs w:val="36"/>
        </w:rPr>
        <w:t>申请人承诺</w:t>
      </w:r>
      <w:r>
        <w:rPr>
          <w:rFonts w:hint="eastAsia" w:ascii="方正小标宋_GBK" w:hAnsi="方正小标宋_GBK" w:eastAsia="方正小标宋_GBK" w:cs="方正小标宋_GBK"/>
          <w:spacing w:val="28"/>
          <w:sz w:val="36"/>
          <w:szCs w:val="36"/>
          <w:lang w:eastAsia="zh-CN"/>
        </w:rPr>
        <w:t>书</w:t>
      </w:r>
    </w:p>
    <w:p>
      <w:pPr>
        <w:snapToGrid w:val="0"/>
        <w:spacing w:line="600" w:lineRule="exact"/>
        <w:jc w:val="center"/>
        <w:rPr>
          <w:rFonts w:hint="eastAsia" w:ascii="方正小标宋_GBK" w:hAnsi="方正小标宋_GBK" w:eastAsia="方正小标宋_GBK" w:cs="方正小标宋_GBK"/>
          <w:spacing w:val="28"/>
          <w:sz w:val="36"/>
          <w:szCs w:val="36"/>
        </w:rPr>
      </w:pPr>
    </w:p>
    <w:p>
      <w:pPr>
        <w:snapToGrid w:val="0"/>
        <w:spacing w:line="600" w:lineRule="exact"/>
        <w:ind w:left="0" w:leftChars="0"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申请人就申请审批的行政审批事项，作出下列承诺：</w:t>
      </w:r>
    </w:p>
    <w:p>
      <w:pPr>
        <w:snapToGrid w:val="0"/>
        <w:spacing w:line="60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一、</w:t>
      </w:r>
      <w:r>
        <w:rPr>
          <w:rFonts w:hint="eastAsia" w:ascii="方正仿宋_GBK" w:hAnsi="方正仿宋_GBK" w:eastAsia="方正仿宋_GBK" w:cs="方正仿宋_GBK"/>
          <w:sz w:val="32"/>
          <w:szCs w:val="32"/>
        </w:rPr>
        <w:t>所填写的基本信息真实、准确，所提供的材料信息真实。</w:t>
      </w:r>
    </w:p>
    <w:p>
      <w:pPr>
        <w:snapToGrid w:val="0"/>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二、</w:t>
      </w:r>
      <w:r>
        <w:rPr>
          <w:rFonts w:hint="eastAsia" w:ascii="方正仿宋_GBK" w:hAnsi="方正仿宋_GBK" w:eastAsia="方正仿宋_GBK" w:cs="方正仿宋_GBK"/>
          <w:sz w:val="32"/>
          <w:szCs w:val="32"/>
        </w:rPr>
        <w:t>已经知晓</w:t>
      </w:r>
      <w:r>
        <w:rPr>
          <w:rFonts w:hint="eastAsia" w:ascii="方正仿宋_GBK" w:hAnsi="方正仿宋_GBK" w:eastAsia="方正仿宋_GBK" w:cs="方正仿宋_GBK"/>
          <w:sz w:val="32"/>
          <w:szCs w:val="32"/>
          <w:lang w:eastAsia="zh-CN"/>
        </w:rPr>
        <w:t>行政</w:t>
      </w:r>
      <w:r>
        <w:rPr>
          <w:rFonts w:hint="eastAsia" w:ascii="方正仿宋_GBK" w:hAnsi="方正仿宋_GBK" w:eastAsia="方正仿宋_GBK" w:cs="方正仿宋_GBK"/>
          <w:sz w:val="32"/>
          <w:szCs w:val="32"/>
        </w:rPr>
        <w:t>审批机关告知的全部内容；</w:t>
      </w:r>
    </w:p>
    <w:p>
      <w:pPr>
        <w:snapToGrid w:val="0"/>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三</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认为自身能满足行政审批机关告知的条件、标准和要求；</w:t>
      </w:r>
    </w:p>
    <w:p>
      <w:pPr>
        <w:snapToGrid w:val="0"/>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四、</w:t>
      </w:r>
      <w:r>
        <w:rPr>
          <w:rFonts w:hint="eastAsia" w:ascii="方正仿宋_GBK" w:hAnsi="方正仿宋_GBK" w:eastAsia="方正仿宋_GBK" w:cs="方正仿宋_GBK"/>
          <w:sz w:val="32"/>
          <w:szCs w:val="32"/>
        </w:rPr>
        <w:t>对于约定需要提供的材料，承诺能够在规定期限内予以提供；</w:t>
      </w:r>
    </w:p>
    <w:p>
      <w:pPr>
        <w:snapToGrid w:val="0"/>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五、</w:t>
      </w:r>
      <w:r>
        <w:rPr>
          <w:rFonts w:hint="eastAsia" w:ascii="方正仿宋_GBK" w:hAnsi="方正仿宋_GBK" w:eastAsia="方正仿宋_GBK" w:cs="方正仿宋_GBK"/>
          <w:sz w:val="32"/>
          <w:szCs w:val="32"/>
        </w:rPr>
        <w:t>上述陈述是申请人真实意思的</w:t>
      </w:r>
      <w:bookmarkStart w:id="0" w:name="_GoBack"/>
      <w:bookmarkEnd w:id="0"/>
      <w:r>
        <w:rPr>
          <w:rFonts w:hint="eastAsia" w:ascii="方正仿宋_GBK" w:hAnsi="方正仿宋_GBK" w:eastAsia="方正仿宋_GBK" w:cs="方正仿宋_GBK"/>
          <w:sz w:val="32"/>
          <w:szCs w:val="32"/>
          <w:lang w:eastAsia="zh-CN"/>
        </w:rPr>
        <w:t>表达</w:t>
      </w:r>
      <w:r>
        <w:rPr>
          <w:rFonts w:hint="eastAsia" w:ascii="方正仿宋_GBK" w:hAnsi="方正仿宋_GBK" w:eastAsia="方正仿宋_GBK" w:cs="方正仿宋_GBK"/>
          <w:sz w:val="32"/>
          <w:szCs w:val="32"/>
        </w:rPr>
        <w:t>；</w:t>
      </w:r>
    </w:p>
    <w:p>
      <w:pPr>
        <w:snapToGrid w:val="0"/>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六、</w:t>
      </w:r>
      <w:r>
        <w:rPr>
          <w:rFonts w:hint="eastAsia" w:ascii="方正仿宋_GBK" w:hAnsi="方正仿宋_GBK" w:eastAsia="方正仿宋_GBK" w:cs="方正仿宋_GBK"/>
          <w:sz w:val="32"/>
          <w:szCs w:val="32"/>
        </w:rPr>
        <w:t>若违反承诺或者作出不实承诺的，愿意承担相应的法律责任。</w:t>
      </w:r>
    </w:p>
    <w:p>
      <w:pPr>
        <w:spacing w:line="600" w:lineRule="exact"/>
        <w:rPr>
          <w:rFonts w:ascii="方正仿宋_GBK" w:hAnsi="方正仿宋_GBK" w:eastAsia="方正仿宋_GBK" w:cs="方正仿宋_GBK"/>
          <w:sz w:val="32"/>
          <w:szCs w:val="32"/>
        </w:rPr>
      </w:pPr>
    </w:p>
    <w:p>
      <w:pPr>
        <w:spacing w:line="600" w:lineRule="exact"/>
        <w:rPr>
          <w:rFonts w:ascii="方正仿宋_GBK" w:hAnsi="方正仿宋_GBK" w:eastAsia="方正仿宋_GBK" w:cs="方正仿宋_GBK"/>
          <w:sz w:val="32"/>
          <w:szCs w:val="32"/>
        </w:rPr>
      </w:pPr>
    </w:p>
    <w:p>
      <w:pPr>
        <w:spacing w:line="600" w:lineRule="exact"/>
        <w:rPr>
          <w:rFonts w:ascii="方正仿宋_GBK" w:hAnsi="方正仿宋_GBK" w:eastAsia="方正仿宋_GBK" w:cs="方正仿宋_GBK"/>
          <w:sz w:val="32"/>
          <w:szCs w:val="32"/>
        </w:rPr>
      </w:pPr>
    </w:p>
    <w:p>
      <w:pPr>
        <w:spacing w:line="60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申请人（委托代理人）：             行政审批机关：</w:t>
      </w:r>
    </w:p>
    <w:p>
      <w:pPr>
        <w:spacing w:line="60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（签字盖章）                      （盖章）</w:t>
      </w:r>
    </w:p>
    <w:p>
      <w:pPr>
        <w:spacing w:line="60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年   月  日                     年   月   日</w:t>
      </w: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r>
        <w:rPr>
          <w:rFonts w:hint="eastAsia" w:ascii="方正仿宋_GBK" w:hAnsi="方正仿宋_GBK" w:eastAsia="方正仿宋_GBK" w:cs="方正仿宋_GBK"/>
          <w:sz w:val="32"/>
          <w:szCs w:val="32"/>
        </w:rPr>
        <w:t xml:space="preserve">                                        </w:t>
      </w:r>
    </w:p>
    <w:p>
      <w:pPr>
        <w:widowControl/>
        <w:spacing w:line="540" w:lineRule="exact"/>
        <w:jc w:val="left"/>
        <w:rPr>
          <w:rFonts w:hint="eastAsia" w:ascii="Times New Roman" w:hAnsi="Times New Roman" w:eastAsia="仿宋_GB2312"/>
          <w:kern w:val="0"/>
          <w:sz w:val="32"/>
          <w:szCs w:val="32"/>
          <w:lang w:val="en-US" w:eastAsia="zh-CN"/>
        </w:rPr>
      </w:pPr>
    </w:p>
    <w:sectPr>
      <w:pgSz w:w="11906" w:h="16838"/>
      <w:pgMar w:top="1417" w:right="1474" w:bottom="141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PAGE   \* MERGEFORMAT</w:instrText>
    </w:r>
    <w:r>
      <w:fldChar w:fldCharType="separate"/>
    </w:r>
    <w:r>
      <w:rPr>
        <w:lang w:val="zh-CN"/>
      </w:rPr>
      <w:t>32</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40889941">
    <w:nsid w:val="5BD81D55"/>
    <w:multiLevelType w:val="singleLevel"/>
    <w:tmpl w:val="5BD81D55"/>
    <w:lvl w:ilvl="0" w:tentative="1">
      <w:start w:val="1"/>
      <w:numFmt w:val="decimal"/>
      <w:suff w:val="nothing"/>
      <w:lvlText w:val="（%1）"/>
      <w:lvlJc w:val="left"/>
    </w:lvl>
  </w:abstractNum>
  <w:abstractNum w:abstractNumId="1540889882">
    <w:nsid w:val="5BD81D1A"/>
    <w:multiLevelType w:val="singleLevel"/>
    <w:tmpl w:val="5BD81D1A"/>
    <w:lvl w:ilvl="0" w:tentative="1">
      <w:start w:val="1"/>
      <w:numFmt w:val="decimal"/>
      <w:suff w:val="nothing"/>
      <w:lvlText w:val="（%1）"/>
      <w:lvlJc w:val="left"/>
    </w:lvl>
  </w:abstractNum>
  <w:abstractNum w:abstractNumId="1540889862">
    <w:nsid w:val="5BD81D06"/>
    <w:multiLevelType w:val="singleLevel"/>
    <w:tmpl w:val="5BD81D06"/>
    <w:lvl w:ilvl="0" w:tentative="1">
      <w:start w:val="1"/>
      <w:numFmt w:val="decimal"/>
      <w:suff w:val="nothing"/>
      <w:lvlText w:val="（%1）"/>
      <w:lvlJc w:val="left"/>
    </w:lvl>
  </w:abstractNum>
  <w:abstractNum w:abstractNumId="1540889815">
    <w:nsid w:val="5BD81CD7"/>
    <w:multiLevelType w:val="singleLevel"/>
    <w:tmpl w:val="5BD81CD7"/>
    <w:lvl w:ilvl="0" w:tentative="1">
      <w:start w:val="1"/>
      <w:numFmt w:val="decimal"/>
      <w:suff w:val="nothing"/>
      <w:lvlText w:val="（%1）"/>
      <w:lvlJc w:val="left"/>
    </w:lvl>
  </w:abstractNum>
  <w:abstractNum w:abstractNumId="1540889080">
    <w:nsid w:val="5BD819F8"/>
    <w:multiLevelType w:val="singleLevel"/>
    <w:tmpl w:val="5BD819F8"/>
    <w:lvl w:ilvl="0" w:tentative="1">
      <w:start w:val="1"/>
      <w:numFmt w:val="decimal"/>
      <w:suff w:val="nothing"/>
      <w:lvlText w:val="（%1）"/>
      <w:lvlJc w:val="left"/>
    </w:lvl>
  </w:abstractNum>
  <w:abstractNum w:abstractNumId="1540890006">
    <w:nsid w:val="5BD81D96"/>
    <w:multiLevelType w:val="singleLevel"/>
    <w:tmpl w:val="5BD81D96"/>
    <w:lvl w:ilvl="0" w:tentative="1">
      <w:start w:val="1"/>
      <w:numFmt w:val="decimal"/>
      <w:suff w:val="nothing"/>
      <w:lvlText w:val="（%1）"/>
      <w:lvlJc w:val="left"/>
    </w:lvl>
  </w:abstractNum>
  <w:abstractNum w:abstractNumId="1629080034">
    <w:nsid w:val="6119C9E2"/>
    <w:multiLevelType w:val="singleLevel"/>
    <w:tmpl w:val="6119C9E2"/>
    <w:lvl w:ilvl="0" w:tentative="1">
      <w:start w:val="6"/>
      <w:numFmt w:val="chineseCounting"/>
      <w:suff w:val="nothing"/>
      <w:lvlText w:val="%1、"/>
      <w:lvlJc w:val="left"/>
    </w:lvl>
  </w:abstractNum>
  <w:abstractNum w:abstractNumId="1541049929">
    <w:nsid w:val="5BDA8E49"/>
    <w:multiLevelType w:val="singleLevel"/>
    <w:tmpl w:val="5BDA8E49"/>
    <w:lvl w:ilvl="0" w:tentative="1">
      <w:start w:val="2"/>
      <w:numFmt w:val="decimal"/>
      <w:suff w:val="nothing"/>
      <w:lvlText w:val="%1."/>
      <w:lvlJc w:val="left"/>
    </w:lvl>
  </w:abstractNum>
  <w:num w:numId="1">
    <w:abstractNumId w:val="1629080034"/>
  </w:num>
  <w:num w:numId="2">
    <w:abstractNumId w:val="1540889080"/>
  </w:num>
  <w:num w:numId="3">
    <w:abstractNumId w:val="1540889815"/>
  </w:num>
  <w:num w:numId="4">
    <w:abstractNumId w:val="1540889862"/>
  </w:num>
  <w:num w:numId="5">
    <w:abstractNumId w:val="1540889882"/>
  </w:num>
  <w:num w:numId="6">
    <w:abstractNumId w:val="1540889941"/>
  </w:num>
  <w:num w:numId="7">
    <w:abstractNumId w:val="1540890006"/>
  </w:num>
  <w:num w:numId="8">
    <w:abstractNumId w:val="15410499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C270AB"/>
    <w:rsid w:val="0002546F"/>
    <w:rsid w:val="00100882"/>
    <w:rsid w:val="00134554"/>
    <w:rsid w:val="003B59E7"/>
    <w:rsid w:val="003C15EE"/>
    <w:rsid w:val="003F40BC"/>
    <w:rsid w:val="005B6211"/>
    <w:rsid w:val="005F1213"/>
    <w:rsid w:val="005F6F6E"/>
    <w:rsid w:val="0061786F"/>
    <w:rsid w:val="007E426F"/>
    <w:rsid w:val="008B73CD"/>
    <w:rsid w:val="00985F90"/>
    <w:rsid w:val="00A46FA6"/>
    <w:rsid w:val="00A7513F"/>
    <w:rsid w:val="00C270AB"/>
    <w:rsid w:val="00C470F6"/>
    <w:rsid w:val="00C90B7D"/>
    <w:rsid w:val="00D143B5"/>
    <w:rsid w:val="00E214D7"/>
    <w:rsid w:val="00E3037D"/>
    <w:rsid w:val="00EA2AB7"/>
    <w:rsid w:val="00F44409"/>
    <w:rsid w:val="00F6473A"/>
    <w:rsid w:val="00FD1A90"/>
    <w:rsid w:val="03FD01A2"/>
    <w:rsid w:val="04C063D7"/>
    <w:rsid w:val="087F5734"/>
    <w:rsid w:val="098E0239"/>
    <w:rsid w:val="0B4F151F"/>
    <w:rsid w:val="0FC53BEC"/>
    <w:rsid w:val="12E3738C"/>
    <w:rsid w:val="149E7662"/>
    <w:rsid w:val="17DC4295"/>
    <w:rsid w:val="19DA62D9"/>
    <w:rsid w:val="1A4E35C8"/>
    <w:rsid w:val="1D5F194A"/>
    <w:rsid w:val="1E4701A1"/>
    <w:rsid w:val="1F9D02FA"/>
    <w:rsid w:val="240F3678"/>
    <w:rsid w:val="243F32EC"/>
    <w:rsid w:val="26F50C5A"/>
    <w:rsid w:val="2D23171B"/>
    <w:rsid w:val="2D506D67"/>
    <w:rsid w:val="2EAA029D"/>
    <w:rsid w:val="2F244C34"/>
    <w:rsid w:val="2FF6286D"/>
    <w:rsid w:val="30853BE6"/>
    <w:rsid w:val="330A6248"/>
    <w:rsid w:val="33D21D42"/>
    <w:rsid w:val="36D83D8B"/>
    <w:rsid w:val="387A2318"/>
    <w:rsid w:val="41B55E5D"/>
    <w:rsid w:val="42212F8E"/>
    <w:rsid w:val="42300B5B"/>
    <w:rsid w:val="44EC5683"/>
    <w:rsid w:val="45DF9700"/>
    <w:rsid w:val="4D0549EA"/>
    <w:rsid w:val="531E3BAB"/>
    <w:rsid w:val="55F3EFE5"/>
    <w:rsid w:val="561C29D4"/>
    <w:rsid w:val="57D40B18"/>
    <w:rsid w:val="58701BA4"/>
    <w:rsid w:val="58CD3EA7"/>
    <w:rsid w:val="58D70421"/>
    <w:rsid w:val="58E95FEA"/>
    <w:rsid w:val="5A413124"/>
    <w:rsid w:val="5B2D4026"/>
    <w:rsid w:val="5B7F4982"/>
    <w:rsid w:val="5D483480"/>
    <w:rsid w:val="62636276"/>
    <w:rsid w:val="62C226D3"/>
    <w:rsid w:val="63B04D98"/>
    <w:rsid w:val="63C43411"/>
    <w:rsid w:val="66947E0B"/>
    <w:rsid w:val="66E459C1"/>
    <w:rsid w:val="6715286F"/>
    <w:rsid w:val="67D40DC7"/>
    <w:rsid w:val="680848B9"/>
    <w:rsid w:val="6B31064D"/>
    <w:rsid w:val="6C647745"/>
    <w:rsid w:val="6D341B32"/>
    <w:rsid w:val="6EB59771"/>
    <w:rsid w:val="6F6D63D3"/>
    <w:rsid w:val="712C1C1C"/>
    <w:rsid w:val="77DFC969"/>
    <w:rsid w:val="78DD307B"/>
    <w:rsid w:val="7CC678C0"/>
    <w:rsid w:val="7D7BA6CB"/>
    <w:rsid w:val="7E5441D6"/>
    <w:rsid w:val="7FAECE31"/>
    <w:rsid w:val="89BF9DDE"/>
    <w:rsid w:val="ADE5932C"/>
    <w:rsid w:val="B96B265F"/>
    <w:rsid w:val="BEFFE9A6"/>
    <w:rsid w:val="BFEF40EB"/>
    <w:rsid w:val="FBB6C10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0">
    <w:name w:val="Normal Table"/>
    <w:unhideWhenUsed/>
    <w:qFormat/>
    <w:uiPriority w:val="99"/>
    <w:tblPr>
      <w:tblStyle w:val="10"/>
      <w:tblLayout w:type="fixed"/>
      <w:tblCellMar>
        <w:top w:w="0" w:type="dxa"/>
        <w:left w:w="108" w:type="dxa"/>
        <w:bottom w:w="0" w:type="dxa"/>
        <w:right w:w="108" w:type="dxa"/>
      </w:tblCellMar>
    </w:tblPr>
    <w:tcPr>
      <w:textDirection w:val="lrTb"/>
    </w:tcPr>
  </w:style>
  <w:style w:type="paragraph" w:styleId="2">
    <w:name w:val="Body Text Indent 2"/>
    <w:basedOn w:val="1"/>
    <w:qFormat/>
    <w:uiPriority w:val="0"/>
    <w:pPr>
      <w:tabs>
        <w:tab w:val="left" w:pos="720"/>
      </w:tabs>
      <w:adjustRightInd w:val="0"/>
      <w:snapToGrid w:val="0"/>
      <w:spacing w:line="360" w:lineRule="auto"/>
      <w:ind w:firstLine="480"/>
    </w:pPr>
    <w:rPr>
      <w:rFonts w:eastAsia="仿宋_GB2312"/>
      <w:sz w:val="24"/>
    </w:rPr>
  </w:style>
  <w:style w:type="paragraph" w:styleId="3">
    <w:name w:val="Balloon Text"/>
    <w:basedOn w:val="1"/>
    <w:link w:val="14"/>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qFormat/>
    <w:uiPriority w:val="0"/>
    <w:pPr>
      <w:tabs>
        <w:tab w:val="left" w:pos="720"/>
      </w:tabs>
      <w:adjustRightInd w:val="0"/>
      <w:snapToGrid w:val="0"/>
      <w:spacing w:line="360" w:lineRule="auto"/>
      <w:ind w:firstLine="540"/>
    </w:pPr>
    <w:rPr>
      <w:rFonts w:eastAsia="仿宋_GB2312"/>
      <w:sz w:val="24"/>
    </w:rPr>
  </w:style>
  <w:style w:type="paragraph" w:styleId="7">
    <w:name w:val="Normal (Web)"/>
    <w:basedOn w:val="1"/>
    <w:unhideWhenUsed/>
    <w:qFormat/>
    <w:uiPriority w:val="0"/>
    <w:rPr>
      <w:rFonts w:ascii="Times New Roman" w:hAnsi="Times New Roman"/>
      <w:sz w:val="24"/>
    </w:rPr>
  </w:style>
  <w:style w:type="character" w:styleId="9">
    <w:name w:val="Strong"/>
    <w:basedOn w:val="8"/>
    <w:qFormat/>
    <w:uiPriority w:val="0"/>
    <w:rPr>
      <w:b/>
    </w:rPr>
  </w:style>
  <w:style w:type="paragraph" w:customStyle="1" w:styleId="11">
    <w:name w:val="List Paragraph"/>
    <w:basedOn w:val="1"/>
    <w:qFormat/>
    <w:uiPriority w:val="34"/>
    <w:pPr>
      <w:ind w:firstLine="420" w:firstLineChars="200"/>
    </w:pPr>
  </w:style>
  <w:style w:type="character" w:customStyle="1" w:styleId="12">
    <w:name w:val="页眉 Char"/>
    <w:basedOn w:val="8"/>
    <w:link w:val="5"/>
    <w:qFormat/>
    <w:uiPriority w:val="99"/>
    <w:rPr>
      <w:rFonts w:ascii="Calibri" w:hAnsi="Calibri" w:eastAsia="宋体" w:cs="Times New Roman"/>
      <w:sz w:val="18"/>
      <w:szCs w:val="18"/>
    </w:rPr>
  </w:style>
  <w:style w:type="character" w:customStyle="1" w:styleId="13">
    <w:name w:val="页脚 Char"/>
    <w:basedOn w:val="8"/>
    <w:link w:val="4"/>
    <w:qFormat/>
    <w:uiPriority w:val="99"/>
    <w:rPr>
      <w:rFonts w:ascii="Calibri" w:hAnsi="Calibri" w:eastAsia="宋体" w:cs="Times New Roman"/>
      <w:sz w:val="18"/>
      <w:szCs w:val="18"/>
    </w:rPr>
  </w:style>
  <w:style w:type="character" w:customStyle="1" w:styleId="14">
    <w:name w:val="批注框文本 Char"/>
    <w:basedOn w:val="8"/>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5699</Words>
  <Characters>32487</Characters>
  <Lines>270</Lines>
  <Paragraphs>76</Paragraphs>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2021-06-20T10:51:00Z</dcterms:created>
  <dc:creator>view01</dc:creator>
  <cp:lastModifiedBy>冯未炜</cp:lastModifiedBy>
  <cp:lastPrinted>2021-06-21T08:32:00Z</cp:lastPrinted>
  <dcterms:modified xsi:type="dcterms:W3CDTF">2024-02-23T03:16:04Z</dcterms:modified>
  <dc:title>附件</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y fmtid="{D5CDD505-2E9C-101B-9397-08002B2CF9AE}" pid="3" name="ICV">
    <vt:lpwstr>5530FA05CD2B42369B5700C197675432</vt:lpwstr>
  </property>
</Properties>
</file>