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pacing w:line="540" w:lineRule="exact"/>
        <w:jc w:val="left"/>
        <w:rPr>
          <w:rFonts w:hint="default" w:ascii="Times New Roman" w:hAnsi="Times New Roman" w:eastAsia="黑体" w:cs="黑体"/>
          <w:kern w:val="0"/>
          <w:sz w:val="32"/>
          <w:szCs w:val="32"/>
          <w:lang w:val="en-US" w:eastAsia="zh-CN"/>
        </w:rPr>
      </w:pPr>
      <w:r>
        <w:rPr>
          <w:rFonts w:hint="eastAsia" w:ascii="Times New Roman" w:hAnsi="Times New Roman" w:eastAsia="黑体" w:cs="黑体"/>
          <w:kern w:val="0"/>
          <w:sz w:val="32"/>
          <w:szCs w:val="32"/>
          <w:lang w:val="en-US" w:eastAsia="zh-CN"/>
        </w:rPr>
        <w:t>附件19</w:t>
      </w:r>
    </w:p>
    <w:p>
      <w:pPr>
        <w:numPr>
          <w:numId w:val="0"/>
        </w:numPr>
        <w:wordWrap/>
        <w:jc w:val="left"/>
        <w:rPr>
          <w:rFonts w:hint="eastAsia" w:ascii="方正仿宋_GBK" w:hAnsi="方正仿宋_GBK" w:cs="方正仿宋_GBK"/>
          <w:color w:val="0000FF"/>
          <w:spacing w:val="-4"/>
          <w:sz w:val="32"/>
          <w:szCs w:val="32"/>
          <w:highlight w:val="none"/>
          <w:lang w:val="en-US" w:eastAsia="zh-CN"/>
        </w:rPr>
      </w:pPr>
    </w:p>
    <w:p>
      <w:pPr>
        <w:widowControl/>
        <w:spacing w:line="540" w:lineRule="exact"/>
        <w:jc w:val="center"/>
        <w:rPr>
          <w:rFonts w:hint="eastAsia"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经营第一类中的药品类易制毒化学品审批</w:t>
      </w:r>
    </w:p>
    <w:p>
      <w:pPr>
        <w:widowControl/>
        <w:spacing w:line="540" w:lineRule="exact"/>
        <w:jc w:val="center"/>
        <w:rPr>
          <w:rFonts w:ascii="Times New Roman" w:hAnsi="Times New Roman" w:eastAsia="方正仿宋_GBK"/>
          <w:kern w:val="0"/>
        </w:rPr>
      </w:pPr>
      <w:r>
        <w:rPr>
          <w:rFonts w:hint="eastAsia" w:ascii="方正小标宋_GBK" w:hAnsi="方正小标宋_GBK" w:eastAsia="方正小标宋_GBK" w:cs="方正小标宋_GBK"/>
          <w:kern w:val="0"/>
          <w:sz w:val="44"/>
          <w:szCs w:val="44"/>
        </w:rPr>
        <w:t>具体管理措施</w:t>
      </w:r>
    </w:p>
    <w:p>
      <w:pPr>
        <w:widowControl/>
        <w:spacing w:line="540" w:lineRule="exact"/>
        <w:ind w:firstLine="640" w:firstLineChars="200"/>
        <w:jc w:val="left"/>
        <w:rPr>
          <w:rFonts w:hint="eastAsia" w:ascii="Times New Roman" w:hAnsi="Times New Roman" w:eastAsia="楷体_GB2312" w:cs="楷体_GB2312"/>
          <w:kern w:val="0"/>
          <w:sz w:val="32"/>
          <w:szCs w:val="32"/>
        </w:rPr>
      </w:pPr>
    </w:p>
    <w:p>
      <w:pPr>
        <w:widowControl/>
        <w:spacing w:line="540" w:lineRule="exact"/>
        <w:ind w:firstLine="640" w:firstLineChars="200"/>
        <w:jc w:val="left"/>
        <w:rPr>
          <w:rFonts w:hint="eastAsia"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lang w:eastAsia="zh-CN"/>
        </w:rPr>
        <w:t>一、责任处室</w:t>
      </w:r>
    </w:p>
    <w:p>
      <w:pPr>
        <w:widowControl/>
        <w:spacing w:line="540" w:lineRule="exact"/>
        <w:ind w:firstLine="640" w:firstLineChars="200"/>
        <w:jc w:val="left"/>
        <w:rPr>
          <w:rFonts w:hint="eastAsia" w:ascii="方正仿宋_GBK" w:hAnsi="方正仿宋_GBK" w:eastAsia="方正仿宋_GBK" w:cs="方正仿宋_GBK"/>
          <w:kern w:val="0"/>
          <w:sz w:val="32"/>
          <w:szCs w:val="32"/>
          <w:lang w:eastAsia="zh-CN"/>
        </w:rPr>
      </w:pPr>
      <w:r>
        <w:rPr>
          <w:rFonts w:hint="eastAsia" w:ascii="方正仿宋_GBK" w:hAnsi="方正仿宋_GBK" w:eastAsia="方正仿宋_GBK" w:cs="方正仿宋_GBK"/>
          <w:kern w:val="0"/>
          <w:sz w:val="32"/>
          <w:szCs w:val="32"/>
          <w:lang w:eastAsia="zh-CN"/>
        </w:rPr>
        <w:t>行政审批处、药品流通监督管理处</w:t>
      </w:r>
    </w:p>
    <w:p>
      <w:pPr>
        <w:widowControl/>
        <w:spacing w:line="540" w:lineRule="exact"/>
        <w:ind w:firstLine="640" w:firstLineChars="200"/>
        <w:jc w:val="left"/>
        <w:rPr>
          <w:rFonts w:hint="eastAsia" w:ascii="方正黑体_GBK" w:hAnsi="方正黑体_GBK" w:eastAsia="方正黑体_GBK" w:cs="方正黑体_GBK"/>
          <w:kern w:val="0"/>
          <w:sz w:val="32"/>
          <w:szCs w:val="32"/>
          <w:lang w:eastAsia="zh-CN"/>
        </w:rPr>
      </w:pPr>
      <w:r>
        <w:rPr>
          <w:rFonts w:hint="eastAsia" w:ascii="方正黑体_GBK" w:hAnsi="方正黑体_GBK" w:eastAsia="方正黑体_GBK" w:cs="方正黑体_GBK"/>
          <w:kern w:val="0"/>
          <w:sz w:val="32"/>
          <w:szCs w:val="32"/>
          <w:lang w:eastAsia="zh-CN"/>
        </w:rPr>
        <w:t>二、改革内容。</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w:t>
      </w:r>
      <w:r>
        <w:rPr>
          <w:rFonts w:hint="eastAsia" w:ascii="方正仿宋_GBK" w:hAnsi="方正仿宋_GBK" w:eastAsia="方正仿宋_GBK" w:cs="方正仿宋_GBK"/>
          <w:kern w:val="0"/>
          <w:sz w:val="32"/>
          <w:szCs w:val="32"/>
          <w:lang w:val="en-US" w:eastAsia="zh-CN"/>
        </w:rPr>
        <w:t>《重庆市人民政府关于印发重庆市深化“证照分离”改革进一步激发市场主体发展活力实施方案的通知》（渝府发〔2021〕16号）</w:t>
      </w:r>
      <w:r>
        <w:rPr>
          <w:rFonts w:hint="eastAsia" w:ascii="方正仿宋_GBK" w:hAnsi="方正仿宋_GBK" w:eastAsia="方正仿宋_GBK" w:cs="方正仿宋_GBK"/>
          <w:kern w:val="0"/>
          <w:sz w:val="32"/>
          <w:szCs w:val="32"/>
        </w:rPr>
        <w:t>，对“经营第一类中的药品类易制毒化学品审批”</w:t>
      </w:r>
      <w:r>
        <w:rPr>
          <w:rFonts w:hint="eastAsia" w:ascii="方正仿宋_GBK" w:hAnsi="方正仿宋_GBK" w:eastAsia="方正仿宋_GBK" w:cs="方正仿宋_GBK"/>
          <w:kern w:val="0"/>
          <w:sz w:val="32"/>
          <w:szCs w:val="32"/>
          <w:lang w:eastAsia="zh-CN"/>
        </w:rPr>
        <w:t>实行</w:t>
      </w:r>
      <w:r>
        <w:rPr>
          <w:rFonts w:hint="eastAsia" w:ascii="方正仿宋_GBK" w:hAnsi="方正仿宋_GBK" w:eastAsia="方正仿宋_GBK" w:cs="方正仿宋_GBK"/>
          <w:kern w:val="0"/>
          <w:sz w:val="32"/>
          <w:szCs w:val="32"/>
        </w:rPr>
        <w:t>优化审批服务，不再要求申请人提供药品经营许可证、药品经营质量管理规范（GSP）证书等材料。</w:t>
      </w:r>
    </w:p>
    <w:p>
      <w:pPr>
        <w:widowControl/>
        <w:spacing w:line="540" w:lineRule="exact"/>
        <w:ind w:firstLine="640" w:firstLineChars="200"/>
        <w:jc w:val="left"/>
        <w:rPr>
          <w:rFonts w:hint="eastAsia" w:ascii="方正黑体_GBK" w:hAnsi="方正黑体_GBK" w:eastAsia="方正黑体_GBK" w:cs="方正黑体_GBK"/>
          <w:kern w:val="0"/>
          <w:sz w:val="32"/>
          <w:szCs w:val="32"/>
          <w:lang w:eastAsia="zh-CN"/>
        </w:rPr>
      </w:pPr>
      <w:r>
        <w:rPr>
          <w:rFonts w:hint="eastAsia" w:ascii="方正黑体_GBK" w:hAnsi="方正黑体_GBK" w:eastAsia="方正黑体_GBK" w:cs="方正黑体_GBK"/>
          <w:kern w:val="0"/>
          <w:sz w:val="32"/>
          <w:szCs w:val="32"/>
          <w:lang w:eastAsia="zh-CN"/>
        </w:rPr>
        <w:t>三、法律依据</w:t>
      </w:r>
    </w:p>
    <w:p>
      <w:pPr>
        <w:widowControl/>
        <w:spacing w:line="540" w:lineRule="exact"/>
        <w:ind w:firstLine="640" w:firstLineChars="200"/>
        <w:jc w:val="left"/>
        <w:rPr>
          <w:rFonts w:ascii="Times New Roman" w:hAnsi="Times New Roman" w:eastAsia="仿宋_GB2312"/>
          <w:kern w:val="0"/>
          <w:sz w:val="32"/>
          <w:szCs w:val="32"/>
        </w:rPr>
      </w:pPr>
      <w:r>
        <w:rPr>
          <w:rFonts w:hint="eastAsia" w:ascii="方正仿宋_GBK" w:hAnsi="方正仿宋_GBK" w:eastAsia="方正仿宋_GBK" w:cs="方正仿宋_GBK"/>
          <w:kern w:val="0"/>
          <w:sz w:val="32"/>
          <w:szCs w:val="32"/>
        </w:rPr>
        <w:t>《易制毒化学品管理条例》</w:t>
      </w:r>
    </w:p>
    <w:p>
      <w:pPr>
        <w:widowControl/>
        <w:spacing w:line="540" w:lineRule="exact"/>
        <w:ind w:firstLine="640" w:firstLineChars="200"/>
        <w:jc w:val="left"/>
        <w:rPr>
          <w:rFonts w:hint="eastAsia" w:ascii="方正黑体_GBK" w:hAnsi="方正黑体_GBK" w:eastAsia="方正黑体_GBK" w:cs="方正黑体_GBK"/>
          <w:kern w:val="0"/>
          <w:sz w:val="32"/>
          <w:szCs w:val="32"/>
          <w:lang w:eastAsia="zh-CN"/>
        </w:rPr>
      </w:pPr>
      <w:r>
        <w:rPr>
          <w:rFonts w:hint="eastAsia" w:ascii="方正黑体_GBK" w:hAnsi="方正黑体_GBK" w:eastAsia="方正黑体_GBK" w:cs="方正黑体_GBK"/>
          <w:kern w:val="0"/>
          <w:sz w:val="32"/>
          <w:szCs w:val="32"/>
          <w:lang w:eastAsia="zh-CN"/>
        </w:rPr>
        <w:t>四、许可条件</w:t>
      </w:r>
    </w:p>
    <w:p>
      <w:pPr>
        <w:adjustRightInd w:val="0"/>
        <w:snapToGrid w:val="0"/>
        <w:spacing w:line="54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《易制毒化学品管理条例》第九条 申请经营第一类易制毒化学品，应当具备下列条件，并经本条例第十条规定的行政主管部门审批，取得经营许可证后，方可进行经营：</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1.属依法登记的化工产品经营企业或者药品经营企业。</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2.有符合国家规定的经营场所，需要储存、保管易制毒化学品的，还应当有符合国家技术标准的仓储设施。</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3.有易制毒化学品的经营管理制度和健全的销售网络。</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4.企业法定代表人和销售、管理人员具有易制毒化学品的有关知识，无毒品犯罪记录。</w:t>
      </w:r>
    </w:p>
    <w:p>
      <w:pPr>
        <w:adjustRightInd w:val="0"/>
        <w:snapToGrid w:val="0"/>
        <w:spacing w:line="540" w:lineRule="exac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 xml:space="preserve">    5.法律、法规、规章规定的其他条件。</w:t>
      </w:r>
    </w:p>
    <w:p>
      <w:pPr>
        <w:widowControl/>
        <w:spacing w:line="540" w:lineRule="exact"/>
        <w:ind w:firstLine="640" w:firstLineChars="200"/>
        <w:jc w:val="left"/>
        <w:rPr>
          <w:rFonts w:hint="eastAsia" w:ascii="方正黑体_GBK" w:hAnsi="方正黑体_GBK" w:eastAsia="方正黑体_GBK" w:cs="方正黑体_GBK"/>
          <w:kern w:val="0"/>
          <w:sz w:val="32"/>
          <w:szCs w:val="32"/>
          <w:lang w:eastAsia="zh-CN"/>
        </w:rPr>
      </w:pPr>
      <w:r>
        <w:rPr>
          <w:rFonts w:hint="eastAsia" w:ascii="方正黑体_GBK" w:hAnsi="方正黑体_GBK" w:eastAsia="方正黑体_GBK" w:cs="方正黑体_GBK"/>
          <w:kern w:val="0"/>
          <w:sz w:val="32"/>
          <w:szCs w:val="32"/>
          <w:lang w:eastAsia="zh-CN"/>
        </w:rPr>
        <w:t>五、材料要求</w:t>
      </w:r>
    </w:p>
    <w:p>
      <w:pPr>
        <w:adjustRightInd w:val="0"/>
        <w:snapToGrid w:val="0"/>
        <w:spacing w:line="540" w:lineRule="exact"/>
        <w:ind w:firstLine="560" w:firstLineChars="175"/>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根据《药品类易制毒化学品管理办法》第十四条，药品经营企业申请经营药品类易制毒化学品原料药，应当符合《条例》第九条规定的条件，向所在地省、自治区、直辖市药品监督管理部门提出申请，报送以下资料：</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1.《药品类易制毒化学品原料药经营申请表》；</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2.《企业法人营业执照》复印件；</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3.药品类易制毒化学品管理的组织机构设置图、各部门职责及相互关系、部门负责人基本情况（简历及学历、职称、执业药师证书复印件）；</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4.反映企业现有状况的周边环境图、总平面布置图、仓储平面布置图（注明药品类易制毒化学品所在位置、相应安全管理设施）；</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5.连续三年在本市药品经营行业中经营规模、销售额、利润率等综合指标排行的证明性材料；</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6.药品类易制毒化学品安全管理制度文件目录；</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7.重点区域设置电视监控设施的说明以及与公安机关联网报警的证明；</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8.企业法定代表人、企业负责人和销售、管理人员具有药品类易制毒化学品知识的说明材料;</w:t>
      </w:r>
    </w:p>
    <w:p>
      <w:pPr>
        <w:adjustRightInd w:val="0"/>
        <w:snapToGrid w:val="0"/>
        <w:spacing w:line="54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9.企业法定代表人及药品类易制毒化学品管理组织机构各部门负责人最近两年内无毒品犯罪记录的证明;</w:t>
      </w:r>
    </w:p>
    <w:p>
      <w:pPr>
        <w:adjustRightInd w:val="0"/>
        <w:snapToGrid w:val="0"/>
        <w:spacing w:line="54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10.企业配送药品的能力及药品类易制毒化学品运输设施设备的说明性材料;</w:t>
      </w:r>
    </w:p>
    <w:p>
      <w:pPr>
        <w:adjustRightInd w:val="0"/>
        <w:snapToGrid w:val="0"/>
        <w:spacing w:line="54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11.企业通过网络向药品监管部门或指定机构报送药品类易制毒化学品经营信息的条件及说明材料;</w:t>
      </w:r>
    </w:p>
    <w:p>
      <w:pPr>
        <w:adjustRightInd w:val="0"/>
        <w:snapToGrid w:val="0"/>
        <w:spacing w:line="54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12申报材料真实性的自我保证声明，并对材料作出如有虚假承担法律责任的承诺。 </w:t>
      </w:r>
    </w:p>
    <w:p>
      <w:pPr>
        <w:widowControl/>
        <w:numPr>
          <w:ilvl w:val="0"/>
          <w:numId w:val="1"/>
        </w:numPr>
        <w:spacing w:line="540" w:lineRule="exact"/>
        <w:ind w:firstLine="640" w:firstLineChars="200"/>
        <w:jc w:val="left"/>
        <w:rPr>
          <w:rFonts w:hint="eastAsia" w:ascii="方正黑体_GBK" w:hAnsi="方正黑体_GBK" w:eastAsia="方正黑体_GBK" w:cs="方正黑体_GBK"/>
          <w:kern w:val="0"/>
          <w:sz w:val="32"/>
          <w:szCs w:val="32"/>
          <w:lang w:eastAsia="zh-CN"/>
        </w:rPr>
      </w:pPr>
      <w:r>
        <w:rPr>
          <w:rFonts w:hint="eastAsia" w:ascii="方正黑体_GBK" w:hAnsi="方正黑体_GBK" w:eastAsia="方正黑体_GBK" w:cs="方正黑体_GBK"/>
          <w:kern w:val="0"/>
          <w:sz w:val="32"/>
          <w:szCs w:val="32"/>
          <w:lang w:eastAsia="zh-CN"/>
        </w:rPr>
        <w:t>程序环节</w:t>
      </w:r>
    </w:p>
    <w:p>
      <w:pPr>
        <w:widowControl/>
        <w:spacing w:line="594" w:lineRule="exact"/>
        <w:rPr>
          <w:rFonts w:hint="eastAsia" w:ascii="方正楷体_GBK" w:hAnsi="方正楷体_GBK" w:eastAsia="方正楷体_GBK" w:cs="方正楷体_GBK"/>
          <w:color w:val="auto"/>
          <w:kern w:val="0"/>
          <w:sz w:val="32"/>
          <w:szCs w:val="32"/>
        </w:rPr>
      </w:pPr>
      <w:r>
        <w:rPr>
          <w:rFonts w:hint="eastAsia" w:ascii="方正楷体_GBK" w:hAnsi="方正楷体_GBK" w:eastAsia="方正楷体_GBK" w:cs="方正楷体_GBK"/>
          <w:color w:val="auto"/>
          <w:kern w:val="0"/>
          <w:sz w:val="32"/>
          <w:szCs w:val="32"/>
          <w:lang w:val="en-US" w:eastAsia="zh-CN"/>
        </w:rPr>
        <w:t xml:space="preserve">    </w:t>
      </w:r>
      <w:r>
        <w:rPr>
          <w:rFonts w:hint="eastAsia" w:ascii="方正楷体_GBK" w:hAnsi="方正楷体_GBK" w:eastAsia="方正楷体_GBK" w:cs="方正楷体_GBK"/>
          <w:color w:val="auto"/>
          <w:kern w:val="0"/>
          <w:sz w:val="32"/>
          <w:szCs w:val="32"/>
        </w:rPr>
        <w:t>（一）审批层级</w:t>
      </w:r>
      <w:r>
        <w:rPr>
          <w:rFonts w:hint="eastAsia" w:ascii="方正楷体_GBK" w:hAnsi="方正楷体_GBK" w:eastAsia="方正楷体_GBK" w:cs="方正楷体_GBK"/>
          <w:color w:val="auto"/>
          <w:kern w:val="0"/>
          <w:sz w:val="32"/>
          <w:szCs w:val="32"/>
          <w:lang w:eastAsia="zh-CN"/>
        </w:rPr>
        <w:t>。</w:t>
      </w:r>
    </w:p>
    <w:p>
      <w:pPr>
        <w:widowControl/>
        <w:spacing w:line="594" w:lineRule="exact"/>
        <w:ind w:firstLine="640" w:firstLineChars="200"/>
        <w:rPr>
          <w:rFonts w:hint="eastAsia" w:ascii="方正仿宋_GBK" w:hAnsi="方正仿宋_GBK" w:eastAsia="方正仿宋_GBK" w:cs="方正仿宋_GBK"/>
          <w:color w:val="auto"/>
          <w:kern w:val="0"/>
          <w:sz w:val="32"/>
          <w:szCs w:val="32"/>
        </w:rPr>
      </w:pPr>
      <w:r>
        <w:rPr>
          <w:rFonts w:hint="eastAsia" w:ascii="方正仿宋_GBK" w:hAnsi="方正仿宋_GBK" w:eastAsia="方正仿宋_GBK" w:cs="方正仿宋_GBK"/>
          <w:color w:val="auto"/>
          <w:kern w:val="0"/>
          <w:sz w:val="32"/>
          <w:szCs w:val="32"/>
        </w:rPr>
        <w:t xml:space="preserve">1.受理机构: </w:t>
      </w:r>
      <w:r>
        <w:rPr>
          <w:rFonts w:hint="eastAsia" w:ascii="方正仿宋_GBK" w:hAnsi="方正仿宋_GBK" w:eastAsia="方正仿宋_GBK" w:cs="方正仿宋_GBK"/>
          <w:color w:val="auto"/>
          <w:kern w:val="0"/>
          <w:sz w:val="32"/>
          <w:szCs w:val="32"/>
          <w:lang w:eastAsia="zh-CN"/>
        </w:rPr>
        <w:t>重庆市药品监督管理局</w:t>
      </w:r>
    </w:p>
    <w:p>
      <w:pPr>
        <w:widowControl/>
        <w:spacing w:line="594" w:lineRule="exact"/>
        <w:ind w:firstLine="640" w:firstLineChars="200"/>
        <w:rPr>
          <w:rFonts w:hint="eastAsia" w:ascii="方正仿宋_GBK" w:hAnsi="方正仿宋_GBK" w:eastAsia="方正仿宋_GBK" w:cs="方正仿宋_GBK"/>
          <w:color w:val="auto"/>
          <w:kern w:val="0"/>
          <w:sz w:val="32"/>
          <w:szCs w:val="32"/>
        </w:rPr>
      </w:pPr>
      <w:r>
        <w:rPr>
          <w:rFonts w:hint="eastAsia" w:ascii="方正仿宋_GBK" w:hAnsi="方正仿宋_GBK" w:eastAsia="方正仿宋_GBK" w:cs="方正仿宋_GBK"/>
          <w:color w:val="auto"/>
          <w:kern w:val="0"/>
          <w:sz w:val="32"/>
          <w:szCs w:val="32"/>
        </w:rPr>
        <w:t xml:space="preserve">2.决定机构: </w:t>
      </w:r>
      <w:r>
        <w:rPr>
          <w:rFonts w:hint="eastAsia" w:ascii="方正仿宋_GBK" w:hAnsi="方正仿宋_GBK" w:eastAsia="方正仿宋_GBK" w:cs="方正仿宋_GBK"/>
          <w:color w:val="auto"/>
          <w:kern w:val="0"/>
          <w:sz w:val="32"/>
          <w:szCs w:val="32"/>
          <w:lang w:eastAsia="zh-CN"/>
        </w:rPr>
        <w:t>重庆市药品监督管理局</w:t>
      </w:r>
    </w:p>
    <w:p>
      <w:pPr>
        <w:widowControl/>
        <w:spacing w:line="594" w:lineRule="exact"/>
        <w:rPr>
          <w:rFonts w:hint="eastAsia" w:ascii="方正楷体_GBK" w:hAnsi="方正楷体_GBK" w:eastAsia="方正楷体_GBK" w:cs="方正楷体_GBK"/>
          <w:color w:val="auto"/>
          <w:kern w:val="0"/>
          <w:sz w:val="32"/>
          <w:szCs w:val="32"/>
          <w:lang w:eastAsia="zh-CN"/>
        </w:rPr>
      </w:pPr>
      <w:r>
        <w:rPr>
          <w:rFonts w:hint="eastAsia" w:ascii="方正楷体_GBK" w:hAnsi="方正楷体_GBK" w:eastAsia="方正楷体_GBK" w:cs="方正楷体_GBK"/>
          <w:color w:val="auto"/>
          <w:kern w:val="0"/>
          <w:sz w:val="32"/>
          <w:szCs w:val="32"/>
          <w:lang w:val="en-US" w:eastAsia="zh-CN"/>
        </w:rPr>
        <w:t xml:space="preserve">   </w:t>
      </w:r>
      <w:r>
        <w:rPr>
          <w:rFonts w:hint="eastAsia" w:ascii="方正楷体_GBK" w:hAnsi="方正楷体_GBK" w:eastAsia="方正楷体_GBK" w:cs="方正楷体_GBK"/>
          <w:color w:val="auto"/>
          <w:kern w:val="0"/>
          <w:sz w:val="32"/>
          <w:szCs w:val="32"/>
        </w:rPr>
        <w:t>（二）办理流程</w:t>
      </w:r>
      <w:r>
        <w:rPr>
          <w:rFonts w:hint="eastAsia" w:ascii="方正楷体_GBK" w:hAnsi="方正楷体_GBK" w:eastAsia="方正楷体_GBK" w:cs="方正楷体_GBK"/>
          <w:color w:val="auto"/>
          <w:kern w:val="0"/>
          <w:sz w:val="32"/>
          <w:szCs w:val="32"/>
          <w:lang w:eastAsia="zh-CN"/>
        </w:rPr>
        <w:t>。</w:t>
      </w:r>
    </w:p>
    <w:p>
      <w:pPr>
        <w:widowControl/>
        <w:spacing w:line="540" w:lineRule="exact"/>
        <w:ind w:firstLine="64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申请经营第一类中的药品类易制毒化学品的，由</w:t>
      </w:r>
      <w:r>
        <w:rPr>
          <w:rFonts w:hint="eastAsia" w:ascii="方正仿宋_GBK" w:hAnsi="方正仿宋_GBK" w:eastAsia="方正仿宋_GBK" w:cs="方正仿宋_GBK"/>
          <w:kern w:val="0"/>
          <w:sz w:val="32"/>
          <w:szCs w:val="32"/>
          <w:lang w:eastAsia="zh-CN"/>
        </w:rPr>
        <w:t>重庆市药品监督管理局</w:t>
      </w:r>
      <w:r>
        <w:rPr>
          <w:rFonts w:hint="eastAsia" w:ascii="方正仿宋_GBK" w:hAnsi="方正仿宋_GBK" w:eastAsia="方正仿宋_GBK" w:cs="方正仿宋_GBK"/>
          <w:kern w:val="0"/>
          <w:sz w:val="32"/>
          <w:szCs w:val="32"/>
        </w:rPr>
        <w:t>审批，应当自收到申请之日起30日内，对申请人提交的申请材料进行审查。对符合规定的，发给</w:t>
      </w:r>
      <w:r>
        <w:rPr>
          <w:rFonts w:hint="eastAsia" w:ascii="方正仿宋_GBK" w:hAnsi="方正仿宋_GBK" w:eastAsia="方正仿宋_GBK" w:cs="方正仿宋_GBK"/>
          <w:kern w:val="0"/>
          <w:sz w:val="32"/>
          <w:szCs w:val="32"/>
          <w:lang w:eastAsia="zh-CN"/>
        </w:rPr>
        <w:t>经营</w:t>
      </w:r>
      <w:r>
        <w:rPr>
          <w:rFonts w:hint="eastAsia" w:ascii="方正仿宋_GBK" w:hAnsi="方正仿宋_GBK" w:eastAsia="方正仿宋_GBK" w:cs="方正仿宋_GBK"/>
          <w:kern w:val="0"/>
          <w:sz w:val="32"/>
          <w:szCs w:val="32"/>
        </w:rPr>
        <w:t>许可证，或者在企业已经取得的有关</w:t>
      </w:r>
      <w:r>
        <w:rPr>
          <w:rFonts w:hint="eastAsia" w:ascii="方正仿宋_GBK" w:hAnsi="方正仿宋_GBK" w:eastAsia="方正仿宋_GBK" w:cs="方正仿宋_GBK"/>
          <w:kern w:val="0"/>
          <w:sz w:val="32"/>
          <w:szCs w:val="32"/>
          <w:lang w:eastAsia="zh-CN"/>
        </w:rPr>
        <w:t>经营</w:t>
      </w:r>
      <w:r>
        <w:rPr>
          <w:rFonts w:hint="eastAsia" w:ascii="方正仿宋_GBK" w:hAnsi="方正仿宋_GBK" w:eastAsia="方正仿宋_GBK" w:cs="方正仿宋_GBK"/>
          <w:kern w:val="0"/>
          <w:sz w:val="32"/>
          <w:szCs w:val="32"/>
        </w:rPr>
        <w:t>许可证件上标注；不予许可的，应当书面说明理由。</w:t>
      </w:r>
    </w:p>
    <w:p>
      <w:pPr>
        <w:widowControl/>
        <w:spacing w:line="540" w:lineRule="exact"/>
        <w:ind w:firstLine="64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审查第一类易制毒化学品</w:t>
      </w:r>
      <w:r>
        <w:rPr>
          <w:rFonts w:hint="eastAsia" w:ascii="方正仿宋_GBK" w:hAnsi="方正仿宋_GBK" w:eastAsia="方正仿宋_GBK" w:cs="方正仿宋_GBK"/>
          <w:kern w:val="0"/>
          <w:sz w:val="32"/>
          <w:szCs w:val="32"/>
          <w:lang w:eastAsia="zh-CN"/>
        </w:rPr>
        <w:t>经营</w:t>
      </w:r>
      <w:r>
        <w:rPr>
          <w:rFonts w:hint="eastAsia" w:ascii="方正仿宋_GBK" w:hAnsi="方正仿宋_GBK" w:eastAsia="方正仿宋_GBK" w:cs="方正仿宋_GBK"/>
          <w:kern w:val="0"/>
          <w:sz w:val="32"/>
          <w:szCs w:val="32"/>
        </w:rPr>
        <w:t>许可申请材料时，根据需要，可以进行实地核查和专家评审。</w:t>
      </w:r>
    </w:p>
    <w:p>
      <w:pPr>
        <w:widowControl/>
        <w:spacing w:line="594" w:lineRule="exact"/>
        <w:rPr>
          <w:rFonts w:hint="eastAsia" w:ascii="方正楷体_GBK" w:hAnsi="方正楷体_GBK" w:eastAsia="方正楷体_GBK" w:cs="方正楷体_GBK"/>
          <w:color w:val="auto"/>
          <w:kern w:val="0"/>
          <w:sz w:val="32"/>
          <w:szCs w:val="32"/>
          <w:lang w:val="en-US" w:eastAsia="zh-CN"/>
        </w:rPr>
      </w:pPr>
      <w:r>
        <w:rPr>
          <w:rFonts w:hint="eastAsia" w:ascii="方正楷体_GBK" w:hAnsi="方正楷体_GBK" w:eastAsia="方正楷体_GBK" w:cs="方正楷体_GBK"/>
          <w:color w:val="auto"/>
          <w:kern w:val="0"/>
          <w:sz w:val="32"/>
          <w:szCs w:val="32"/>
          <w:lang w:val="en-US" w:eastAsia="zh-CN"/>
        </w:rPr>
        <w:t xml:space="preserve">   （三）审批时限。</w:t>
      </w:r>
    </w:p>
    <w:p>
      <w:pPr>
        <w:spacing w:line="540" w:lineRule="exact"/>
        <w:rPr>
          <w:rFonts w:ascii="仿宋_GB2312" w:hAnsi="仿宋_GB2312" w:eastAsia="仿宋_GB2312" w:cs="仿宋_GB2312"/>
          <w:color w:val="auto"/>
          <w:kern w:val="0"/>
          <w:sz w:val="32"/>
          <w:szCs w:val="32"/>
        </w:rPr>
      </w:pPr>
      <w:r>
        <w:rPr>
          <w:rFonts w:hint="eastAsia" w:ascii="方正仿宋_GBK" w:hAnsi="方正仿宋_GBK" w:eastAsia="方正仿宋_GBK" w:cs="方正仿宋_GBK"/>
          <w:color w:val="auto"/>
          <w:sz w:val="32"/>
          <w:szCs w:val="32"/>
          <w:lang w:val="en-US" w:eastAsia="zh-CN"/>
        </w:rPr>
        <w:t xml:space="preserve">    法定时限：30个工作日；承诺时限：15个工作日。</w:t>
      </w:r>
    </w:p>
    <w:p>
      <w:pPr>
        <w:widowControl/>
        <w:spacing w:line="540" w:lineRule="exact"/>
        <w:ind w:firstLine="640" w:firstLineChars="200"/>
        <w:jc w:val="left"/>
        <w:rPr>
          <w:rFonts w:hint="eastAsia" w:ascii="方正黑体_GBK" w:hAnsi="方正黑体_GBK" w:eastAsia="方正黑体_GBK" w:cs="方正黑体_GBK"/>
          <w:kern w:val="0"/>
          <w:sz w:val="32"/>
          <w:szCs w:val="32"/>
          <w:lang w:eastAsia="zh-CN"/>
        </w:rPr>
      </w:pPr>
      <w:r>
        <w:rPr>
          <w:rFonts w:hint="eastAsia" w:ascii="方正黑体_GBK" w:hAnsi="方正黑体_GBK" w:eastAsia="方正黑体_GBK" w:cs="方正黑体_GBK"/>
          <w:kern w:val="0"/>
          <w:sz w:val="32"/>
          <w:szCs w:val="32"/>
          <w:lang w:eastAsia="zh-CN"/>
        </w:rPr>
        <w:t>七、监管措施</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lang w:val="en-US" w:eastAsia="zh-CN"/>
        </w:rPr>
        <w:t>1.</w:t>
      </w:r>
      <w:r>
        <w:rPr>
          <w:rFonts w:hint="eastAsia" w:ascii="方正仿宋_GBK" w:hAnsi="方正仿宋_GBK" w:eastAsia="方正仿宋_GBK" w:cs="方正仿宋_GBK"/>
          <w:kern w:val="0"/>
          <w:sz w:val="32"/>
          <w:szCs w:val="32"/>
        </w:rPr>
        <w:t>加大信息公示力度，向社会公开药品经营许可信息，加强社会监督。</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lang w:val="en-US" w:eastAsia="zh-CN"/>
        </w:rPr>
        <w:t>2.</w:t>
      </w:r>
      <w:r>
        <w:rPr>
          <w:rFonts w:hint="eastAsia" w:ascii="方正仿宋_GBK" w:hAnsi="方正仿宋_GBK" w:eastAsia="方正仿宋_GBK" w:cs="方正仿宋_GBK"/>
          <w:kern w:val="0"/>
          <w:sz w:val="32"/>
          <w:szCs w:val="32"/>
        </w:rPr>
        <w:t>加强日常监管，严格按照《易制毒化学品管理条例》(国务院令第445号)、《药品类易制毒化学品管理办法》（卫生部令第72号）等有关法律法规和规章，督促药品类易制毒化学品经营企业落实主体责任，严格落实国家药监局对高风险药品经营企业的检查频次。</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lang w:val="en-US" w:eastAsia="zh-CN"/>
        </w:rPr>
        <w:t>3.</w:t>
      </w:r>
      <w:r>
        <w:rPr>
          <w:rFonts w:hint="eastAsia" w:ascii="方正仿宋_GBK" w:hAnsi="方正仿宋_GBK" w:eastAsia="方正仿宋_GBK" w:cs="方正仿宋_GBK"/>
          <w:kern w:val="0"/>
          <w:sz w:val="32"/>
          <w:szCs w:val="32"/>
        </w:rPr>
        <w:t>通过特殊药品监管信息网络，对药品类易制毒化学品的购进、销售、储存等环节实施重点监管，形成全过程、全链条闭环管理，严防发生流弊事件。</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bookmarkStart w:id="0" w:name="_GoBack"/>
      <w:r>
        <w:rPr>
          <w:rFonts w:hint="eastAsia" w:ascii="方正仿宋_GBK" w:hAnsi="方正仿宋_GBK" w:eastAsia="方正仿宋_GBK" w:cs="方正仿宋_GBK"/>
          <w:kern w:val="0"/>
          <w:sz w:val="32"/>
          <w:szCs w:val="32"/>
          <w:lang w:val="en-US" w:eastAsia="zh-CN"/>
        </w:rPr>
        <w:t>4.</w:t>
      </w:r>
      <w:r>
        <w:rPr>
          <w:rFonts w:hint="eastAsia" w:ascii="方正仿宋_GBK" w:hAnsi="方正仿宋_GBK" w:eastAsia="方正仿宋_GBK" w:cs="方正仿宋_GBK"/>
          <w:kern w:val="0"/>
          <w:sz w:val="32"/>
          <w:szCs w:val="32"/>
        </w:rPr>
        <w:t>发现企业违法违规行为要依法严查重处，构成犯罪的，依法</w:t>
      </w:r>
      <w:bookmarkEnd w:id="0"/>
      <w:r>
        <w:rPr>
          <w:rFonts w:hint="eastAsia" w:ascii="方正仿宋_GBK" w:hAnsi="方正仿宋_GBK" w:eastAsia="方正仿宋_GBK" w:cs="方正仿宋_GBK"/>
          <w:kern w:val="0"/>
          <w:sz w:val="32"/>
          <w:szCs w:val="32"/>
        </w:rPr>
        <w:t>追究刑事责任。</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lang w:val="en-US" w:eastAsia="zh-CN"/>
        </w:rPr>
        <w:t>5.</w:t>
      </w:r>
      <w:r>
        <w:rPr>
          <w:rFonts w:hint="eastAsia" w:ascii="方正仿宋_GBK" w:hAnsi="方正仿宋_GBK" w:eastAsia="方正仿宋_GBK" w:cs="方正仿宋_GBK"/>
          <w:kern w:val="0"/>
          <w:sz w:val="32"/>
          <w:szCs w:val="32"/>
        </w:rPr>
        <w:t>畅通投诉举报渠道，发挥</w:t>
      </w:r>
      <w:r>
        <w:rPr>
          <w:rFonts w:hint="eastAsia" w:ascii="方正仿宋_GBK" w:hAnsi="方正仿宋_GBK" w:eastAsia="方正仿宋_GBK" w:cs="方正仿宋_GBK"/>
          <w:kern w:val="0"/>
          <w:sz w:val="32"/>
          <w:szCs w:val="32"/>
          <w:lang w:val="en-US" w:eastAsia="zh-CN"/>
        </w:rPr>
        <w:t>12315</w:t>
      </w:r>
      <w:r>
        <w:rPr>
          <w:rFonts w:hint="eastAsia" w:ascii="方正仿宋_GBK" w:hAnsi="方正仿宋_GBK" w:eastAsia="方正仿宋_GBK" w:cs="方正仿宋_GBK"/>
          <w:kern w:val="0"/>
          <w:sz w:val="32"/>
          <w:szCs w:val="32"/>
        </w:rPr>
        <w:t>投诉举报职能，强化社会监督，落实药品安全社会共治。</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6.加强信用监管，依法依规对失信主体开展失信惩戒。</w:t>
      </w:r>
    </w:p>
    <w:sectPr>
      <w:pgSz w:w="11906" w:h="16838"/>
      <w:pgMar w:top="1417" w:right="1417" w:bottom="1417" w:left="1417" w:header="851" w:footer="992" w:gutter="0"/>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629090699">
    <w:nsid w:val="6119F38B"/>
    <w:multiLevelType w:val="singleLevel"/>
    <w:tmpl w:val="6119F38B"/>
    <w:lvl w:ilvl="0" w:tentative="1">
      <w:start w:val="6"/>
      <w:numFmt w:val="chineseCounting"/>
      <w:suff w:val="nothing"/>
      <w:lvlText w:val="%1、"/>
      <w:lvlJc w:val="left"/>
    </w:lvl>
  </w:abstractNum>
  <w:num w:numId="1">
    <w:abstractNumId w:val="162909069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6C3F39E1"/>
    <w:rsid w:val="09A95D9F"/>
    <w:rsid w:val="0F5848BD"/>
    <w:rsid w:val="10A12339"/>
    <w:rsid w:val="118729B7"/>
    <w:rsid w:val="1FBD07DF"/>
    <w:rsid w:val="283D4410"/>
    <w:rsid w:val="2C821525"/>
    <w:rsid w:val="2E320239"/>
    <w:rsid w:val="47FC6227"/>
    <w:rsid w:val="49245330"/>
    <w:rsid w:val="4BE1010B"/>
    <w:rsid w:val="5412135E"/>
    <w:rsid w:val="58D01947"/>
    <w:rsid w:val="5DA7127B"/>
    <w:rsid w:val="6C3F39E1"/>
    <w:rsid w:val="70160694"/>
    <w:rsid w:val="7CF81F54"/>
    <w:rsid w:val="7EF31EF0"/>
    <w:rsid w:val="7F792E33"/>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Style w:val="4"/>
      <w:tblLayout w:type="fixed"/>
      <w:tblCellMar>
        <w:top w:w="0" w:type="dxa"/>
        <w:left w:w="108" w:type="dxa"/>
        <w:bottom w:w="0" w:type="dxa"/>
        <w:right w:w="108" w:type="dxa"/>
      </w:tblCellMar>
    </w:tblPr>
    <w:tcPr>
      <w:textDirection w:val="lrTb"/>
    </w:tcPr>
  </w:style>
  <w:style w:type="paragraph" w:styleId="2">
    <w:name w:val="footer"/>
    <w:basedOn w:val="1"/>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 专业版_9.1.0.4798_{F1E327BC-269C-435d-A152-05C5408002CA}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2021-08-06T01:12:00Z</dcterms:created>
  <dc:creator>廖磊</dc:creator>
  <cp:lastModifiedBy>吕睿皓</cp:lastModifiedBy>
  <dcterms:modified xsi:type="dcterms:W3CDTF">2021-08-24T08:09:31Z</dcterms:modified>
  <dc:title>附件25</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2052-9.1.0.4798</vt:lpwstr>
  </property>
  <property fmtid="{D5CDD505-2E9C-101B-9397-08002B2CF9AE}" pid="3" name="ICV">
    <vt:lpwstr>0611CA0755454DB982BF7F41066CBC6F</vt:lpwstr>
  </property>
</Properties>
</file>