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方正黑体_GBK" w:hAnsi="方正黑体_GBK" w:eastAsia="方正黑体_GBK" w:cs="方正黑体_GBK"/>
          <w:kern w:val="0"/>
          <w:sz w:val="32"/>
          <w:szCs w:val="32"/>
          <w:lang w:val="en-US" w:eastAsia="zh-CN"/>
        </w:rPr>
      </w:pPr>
      <w:r>
        <w:rPr>
          <w:rFonts w:hint="eastAsia" w:ascii="方正黑体_GBK" w:hAnsi="方正黑体_GBK" w:eastAsia="方正黑体_GBK" w:cs="方正黑体_GBK"/>
          <w:kern w:val="0"/>
          <w:sz w:val="32"/>
          <w:szCs w:val="32"/>
          <w:lang w:val="en-US" w:eastAsia="zh-CN"/>
        </w:rPr>
        <w:t>附件</w:t>
      </w:r>
      <w:r>
        <w:rPr>
          <w:rFonts w:hint="eastAsia" w:ascii="方正黑体_GBK" w:hAnsi="方正黑体_GBK" w:eastAsia="方正黑体_GBK" w:cs="方正黑体_GBK"/>
          <w:color w:val="auto"/>
          <w:kern w:val="0"/>
          <w:sz w:val="32"/>
          <w:szCs w:val="32"/>
          <w:lang w:val="en-US" w:eastAsia="zh-CN"/>
        </w:rPr>
        <w:t>16</w:t>
      </w:r>
      <w:bookmarkStart w:id="0" w:name="_GoBack"/>
      <w:bookmarkEnd w:id="0"/>
    </w:p>
    <w:p>
      <w:pPr>
        <w:numPr>
          <w:ilvl w:val="0"/>
          <w:numId w:val="0"/>
        </w:numPr>
        <w:wordWrap/>
        <w:jc w:val="left"/>
        <w:rPr>
          <w:rFonts w:hint="eastAsia" w:ascii="方正仿宋_GBK" w:hAnsi="方正仿宋_GBK" w:cs="方正仿宋_GBK"/>
          <w:color w:val="0000FF"/>
          <w:spacing w:val="-4"/>
          <w:sz w:val="32"/>
          <w:szCs w:val="32"/>
          <w:highlight w:val="none"/>
          <w:lang w:val="en-US" w:eastAsia="zh-CN"/>
        </w:rPr>
      </w:pP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蛋白同化制剂和肽类激素进口准许证核发</w:t>
      </w: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具体管理措施</w:t>
      </w: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行政审批处、药品生产监督管理处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二、改革内容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，对“蛋白同化制剂、肽类激素进口准许证核发”</w:t>
      </w:r>
      <w:r>
        <w:rPr>
          <w:rFonts w:hint="eastAsia" w:ascii="方正仿宋_GBK" w:hAnsi="方正仿宋_GBK" w:eastAsia="方正仿宋_GBK" w:cs="方正仿宋_GBK"/>
          <w:kern w:val="0"/>
          <w:sz w:val="32"/>
          <w:szCs w:val="32"/>
          <w:lang w:eastAsia="zh-CN"/>
        </w:rPr>
        <w:t>实行</w:t>
      </w:r>
      <w:r>
        <w:rPr>
          <w:rFonts w:hint="eastAsia" w:ascii="方正仿宋_GBK" w:hAnsi="方正仿宋_GBK" w:eastAsia="方正仿宋_GBK" w:cs="方正仿宋_GBK"/>
          <w:kern w:val="0"/>
          <w:sz w:val="32"/>
          <w:szCs w:val="32"/>
        </w:rPr>
        <w:t>优化审批服务，不再要求申请人提供药品生产许可证、药品经营许可证等材料。</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仿宋_GBK" w:hAnsi="方正仿宋_GBK" w:eastAsia="方正仿宋_GBK" w:cs="方正仿宋_GBK"/>
          <w:kern w:val="0"/>
          <w:sz w:val="32"/>
          <w:szCs w:val="32"/>
          <w:lang w:eastAsia="zh-CN"/>
        </w:rPr>
        <w:t>《反兴奋剂条例》</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四、许可条件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《反兴奋剂条例》第十一条 进口蛋白同化制剂、肽类激素，除依照药品管理法及其实施条例的规定取得国务院药品监督管理部门发给的进口药品注册证书外，还应当取得省、自治区、直辖市人民政府药品监督管理部门颁发的进口准许证。</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五、材料要求</w:t>
      </w:r>
    </w:p>
    <w:p>
      <w:pPr>
        <w:adjustRightInd w:val="0"/>
        <w:snapToGrid w:val="0"/>
        <w:spacing w:line="54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进口供医疗使用的蛋白同化制剂、肽类激素，进口单位应当报送以下资料：</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1.药品进口申请表</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购货合同或者订单复印件</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《进口药品注册证》（或者《医药产品注册证》）（正本或者副本）复印件</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进口单位《进出口企业资格证书》（或者《对外贸易经营者备案登记表》）</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委托出口函</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授权委托书</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7.</w:t>
      </w:r>
      <w:r>
        <w:rPr>
          <w:rFonts w:hint="eastAsia" w:ascii="方正仿宋_GBK" w:hAnsi="方正仿宋_GBK" w:eastAsia="方正仿宋_GBK" w:cs="方正仿宋_GBK"/>
          <w:sz w:val="32"/>
          <w:szCs w:val="32"/>
        </w:rPr>
        <w:t>真实性承诺</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上述各类复印件应当加盖进口单位公章。</w:t>
      </w:r>
    </w:p>
    <w:p>
      <w:pPr>
        <w:adjustRightInd w:val="0"/>
        <w:snapToGrid w:val="0"/>
        <w:spacing w:line="54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因教学、科研需要而进口蛋白同化制剂、肽类激素的，进口单位应当报送以下资料：</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1.药品进口申请表</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购货合同或者订单复印件</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国内使用单位合法资质的证明文件</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药品使用数量的测算依据</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使用单位出具的合法使用和管理该药品保证函</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相应科研项目的批准文件或者相应主管部门的批准文件</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7.</w:t>
      </w:r>
      <w:r>
        <w:rPr>
          <w:rFonts w:hint="eastAsia" w:ascii="方正仿宋_GBK" w:hAnsi="方正仿宋_GBK" w:eastAsia="方正仿宋_GBK" w:cs="方正仿宋_GBK"/>
          <w:sz w:val="32"/>
          <w:szCs w:val="32"/>
        </w:rPr>
        <w:t>委托代理协议复印件</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rPr>
        <w:t>进口单位《进出口企业资格证书》（或者《对外贸易经营者备案登记表》）</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rPr>
        <w:t>授权委托书</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10</w:t>
      </w:r>
      <w:r>
        <w:rPr>
          <w:rFonts w:hint="eastAsia" w:ascii="方正仿宋_GBK" w:hAnsi="方正仿宋_GBK" w:eastAsia="方正仿宋_GBK" w:cs="方正仿宋_GBK"/>
          <w:sz w:val="32"/>
          <w:szCs w:val="32"/>
        </w:rPr>
        <w:t>真实性承诺</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上述各类复印件应当加盖进口单位公章。</w:t>
      </w:r>
    </w:p>
    <w:p>
      <w:pPr>
        <w:widowControl/>
        <w:numPr>
          <w:ilvl w:val="0"/>
          <w:numId w:val="1"/>
        </w:numPr>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程序环节</w:t>
      </w:r>
    </w:p>
    <w:p>
      <w:pPr>
        <w:widowControl/>
        <w:spacing w:line="594" w:lineRule="exact"/>
        <w:rPr>
          <w:rFonts w:hint="eastAsia" w:ascii="方正仿宋_GBK" w:hAnsi="方正仿宋_GBK" w:eastAsia="方正仿宋_GBK" w:cs="方正仿宋_GBK"/>
          <w:color w:val="auto"/>
          <w:kern w:val="0"/>
          <w:sz w:val="32"/>
          <w:szCs w:val="32"/>
        </w:rPr>
      </w:pPr>
      <w:r>
        <w:rPr>
          <w:rFonts w:hint="eastAsia" w:ascii="方正黑体_GBK" w:hAnsi="方正黑体_GBK" w:eastAsia="方正黑体_GBK" w:cs="方正黑体_GBK"/>
          <w:kern w:val="0"/>
          <w:sz w:val="32"/>
          <w:szCs w:val="32"/>
          <w:lang w:val="en-US" w:eastAsia="zh-CN"/>
        </w:rPr>
        <w:t xml:space="preserve">  </w:t>
      </w:r>
      <w:r>
        <w:rPr>
          <w:rFonts w:hint="eastAsia" w:ascii="方正楷体_GBK" w:hAnsi="方正楷体_GBK" w:eastAsia="方正楷体_GBK" w:cs="方正楷体_GBK"/>
          <w:kern w:val="0"/>
          <w:sz w:val="32"/>
          <w:szCs w:val="32"/>
          <w:lang w:val="en-US" w:eastAsia="zh-CN"/>
        </w:rPr>
        <w:t xml:space="preserve">  </w:t>
      </w:r>
      <w:r>
        <w:rPr>
          <w:rFonts w:hint="eastAsia" w:ascii="方正楷体_GBK" w:hAnsi="方正楷体_GBK" w:eastAsia="方正楷体_GBK" w:cs="方正楷体_GBK"/>
          <w:color w:val="auto"/>
          <w:kern w:val="0"/>
          <w:sz w:val="32"/>
          <w:szCs w:val="32"/>
        </w:rPr>
        <w:t>（一）审批层级</w:t>
      </w:r>
      <w:r>
        <w:rPr>
          <w:rFonts w:hint="eastAsia" w:ascii="方正楷体_GBK" w:hAnsi="方正楷体_GBK" w:eastAsia="方正楷体_GBK" w:cs="方正楷体_GBK"/>
          <w:color w:val="auto"/>
          <w:kern w:val="0"/>
          <w:sz w:val="32"/>
          <w:szCs w:val="32"/>
          <w:lang w:eastAsia="zh-CN"/>
        </w:rPr>
        <w:t>。</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1.受理机构: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2.决定机构: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rPr>
          <w:rFonts w:hint="eastAsia" w:ascii="方正楷体_GBK" w:hAnsi="方正楷体_GBK" w:eastAsia="方正楷体_GBK" w:cs="方正楷体_GBK"/>
          <w:color w:val="auto"/>
          <w:kern w:val="0"/>
          <w:sz w:val="32"/>
          <w:szCs w:val="32"/>
          <w:lang w:eastAsia="zh-CN"/>
        </w:rPr>
      </w:pP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（二）办理流程</w:t>
      </w:r>
      <w:r>
        <w:rPr>
          <w:rFonts w:hint="eastAsia" w:ascii="方正楷体_GBK" w:hAnsi="方正楷体_GBK" w:eastAsia="方正楷体_GBK" w:cs="方正楷体_GBK"/>
          <w:color w:val="auto"/>
          <w:kern w:val="0"/>
          <w:sz w:val="32"/>
          <w:szCs w:val="32"/>
          <w:lang w:eastAsia="zh-CN"/>
        </w:rPr>
        <w:t>。</w:t>
      </w:r>
    </w:p>
    <w:p>
      <w:pPr>
        <w:widowControl/>
        <w:spacing w:line="594"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kern w:val="0"/>
          <w:sz w:val="32"/>
          <w:szCs w:val="32"/>
          <w:lang w:eastAsia="zh-CN"/>
        </w:rPr>
        <w:t>重庆市药品监督管理局</w:t>
      </w:r>
      <w:r>
        <w:rPr>
          <w:rFonts w:hint="eastAsia" w:ascii="方正仿宋_GBK" w:hAnsi="方正仿宋_GBK" w:eastAsia="方正仿宋_GBK" w:cs="方正仿宋_GBK"/>
          <w:color w:val="auto"/>
          <w:sz w:val="32"/>
          <w:szCs w:val="32"/>
        </w:rPr>
        <w:t>收到进口申请及有关资料后，应当于15个工作日内作出是否同意进口的决定；对同意进口的，发给药品《进口准许证》；对不同意进口的，应当书面说明理由。</w:t>
      </w:r>
    </w:p>
    <w:p>
      <w:pPr>
        <w:widowControl/>
        <w:spacing w:line="594" w:lineRule="exact"/>
        <w:rPr>
          <w:rFonts w:hint="eastAsia" w:ascii="方正楷体_GBK" w:hAnsi="方正楷体_GBK" w:eastAsia="方正楷体_GBK" w:cs="方正楷体_GBK"/>
          <w:color w:val="auto"/>
          <w:kern w:val="0"/>
          <w:sz w:val="32"/>
          <w:szCs w:val="32"/>
          <w:lang w:val="en-US" w:eastAsia="zh-CN"/>
        </w:rPr>
      </w:pPr>
      <w:r>
        <w:rPr>
          <w:rFonts w:hint="eastAsia" w:ascii="方正楷体_GBK" w:hAnsi="方正楷体_GBK" w:eastAsia="方正楷体_GBK" w:cs="方正楷体_GBK"/>
          <w:color w:val="auto"/>
          <w:kern w:val="0"/>
          <w:sz w:val="32"/>
          <w:szCs w:val="32"/>
          <w:lang w:val="en-US" w:eastAsia="zh-CN"/>
        </w:rPr>
        <w:t xml:space="preserve">   （三）审批时限。</w:t>
      </w:r>
    </w:p>
    <w:p>
      <w:pPr>
        <w:widowControl/>
        <w:spacing w:line="540" w:lineRule="exact"/>
        <w:ind w:firstLine="640" w:firstLineChars="200"/>
        <w:jc w:val="left"/>
        <w:rPr>
          <w:rFonts w:hint="eastAsia" w:ascii="仿宋_GB2312" w:hAnsi="仿宋_GB2312" w:eastAsia="仿宋_GB2312" w:cs="仿宋_GB2312"/>
          <w:color w:val="auto"/>
          <w:sz w:val="32"/>
          <w:szCs w:val="32"/>
        </w:rPr>
      </w:pPr>
      <w:r>
        <w:rPr>
          <w:rFonts w:hint="eastAsia" w:ascii="方正仿宋_GBK" w:hAnsi="方正仿宋_GBK" w:eastAsia="方正仿宋_GBK" w:cs="方正仿宋_GBK"/>
          <w:color w:val="auto"/>
          <w:sz w:val="32"/>
          <w:szCs w:val="32"/>
          <w:lang w:val="en-US" w:eastAsia="zh-CN"/>
        </w:rPr>
        <w:t>法定时限：15个工作日；承诺时限：7个工作日。</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七、监管措施</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1.严格执行国家有关法律法规和规章，对蛋白同化制剂、肽类激素生产企业加强日常监管工作。</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2.实施重点监管，发现违法违规生产、销售和进出口蛋白同化制剂、肽类激素的，依法从严查处，吊销生产经营许可证或营业执照；构成犯罪的，依法追究刑事责任。</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3.及时向社会公开许可信息，加强社会监督。</w:t>
      </w:r>
    </w:p>
    <w:p>
      <w:pPr>
        <w:widowControl/>
        <w:spacing w:line="540" w:lineRule="exact"/>
        <w:ind w:firstLine="640" w:firstLineChars="200"/>
        <w:jc w:val="left"/>
        <w:rPr>
          <w:rFonts w:hint="eastAsia" w:ascii="Times New Roman" w:hAnsi="Times New Roman" w:eastAsia="仿宋_GB2312" w:cs="方正仿宋_GBK"/>
          <w:kern w:val="0"/>
          <w:sz w:val="32"/>
          <w:szCs w:val="32"/>
        </w:rPr>
      </w:pPr>
    </w:p>
    <w:sectPr>
      <w:footerReference r:id="rId3" w:type="default"/>
      <w:pgSz w:w="11906" w:h="16838"/>
      <w:pgMar w:top="1417"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32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19E8AD"/>
    <w:multiLevelType w:val="singleLevel"/>
    <w:tmpl w:val="6119E8AD"/>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C270AB"/>
    <w:rsid w:val="0002546F"/>
    <w:rsid w:val="00100882"/>
    <w:rsid w:val="00134554"/>
    <w:rsid w:val="003B59E7"/>
    <w:rsid w:val="003C15EE"/>
    <w:rsid w:val="003F40BC"/>
    <w:rsid w:val="005B6211"/>
    <w:rsid w:val="005F1213"/>
    <w:rsid w:val="005F6F6E"/>
    <w:rsid w:val="0061786F"/>
    <w:rsid w:val="007E426F"/>
    <w:rsid w:val="008B73CD"/>
    <w:rsid w:val="00985F90"/>
    <w:rsid w:val="00A46FA6"/>
    <w:rsid w:val="00A7513F"/>
    <w:rsid w:val="00C270AB"/>
    <w:rsid w:val="00C470F6"/>
    <w:rsid w:val="00C90B7D"/>
    <w:rsid w:val="00D143B5"/>
    <w:rsid w:val="00E214D7"/>
    <w:rsid w:val="00E3037D"/>
    <w:rsid w:val="00EA2AB7"/>
    <w:rsid w:val="00F44409"/>
    <w:rsid w:val="00F6473A"/>
    <w:rsid w:val="00FD1A90"/>
    <w:rsid w:val="03FD01A2"/>
    <w:rsid w:val="0FC53BEC"/>
    <w:rsid w:val="1A4E35C8"/>
    <w:rsid w:val="1B477AD1"/>
    <w:rsid w:val="1F6F2102"/>
    <w:rsid w:val="240F3678"/>
    <w:rsid w:val="243F32EC"/>
    <w:rsid w:val="2D23171B"/>
    <w:rsid w:val="2D506D67"/>
    <w:rsid w:val="2EAA029D"/>
    <w:rsid w:val="2F244C34"/>
    <w:rsid w:val="2FF6286D"/>
    <w:rsid w:val="31B13353"/>
    <w:rsid w:val="334C0B76"/>
    <w:rsid w:val="36D83D8B"/>
    <w:rsid w:val="38192198"/>
    <w:rsid w:val="3B944440"/>
    <w:rsid w:val="42212F8E"/>
    <w:rsid w:val="42DC7EA2"/>
    <w:rsid w:val="45DF9700"/>
    <w:rsid w:val="47841AC4"/>
    <w:rsid w:val="4856336A"/>
    <w:rsid w:val="4FC21AC7"/>
    <w:rsid w:val="55F3EFE5"/>
    <w:rsid w:val="58701BA4"/>
    <w:rsid w:val="58D70421"/>
    <w:rsid w:val="5B2D4026"/>
    <w:rsid w:val="5BE1210B"/>
    <w:rsid w:val="62105957"/>
    <w:rsid w:val="62636276"/>
    <w:rsid w:val="63B04D98"/>
    <w:rsid w:val="63C43411"/>
    <w:rsid w:val="66947E0B"/>
    <w:rsid w:val="6715286F"/>
    <w:rsid w:val="68832826"/>
    <w:rsid w:val="6E6341B3"/>
    <w:rsid w:val="6EB59771"/>
    <w:rsid w:val="72FC6614"/>
    <w:rsid w:val="741B6C3E"/>
    <w:rsid w:val="76DC5805"/>
    <w:rsid w:val="77DFC969"/>
    <w:rsid w:val="7BD81167"/>
    <w:rsid w:val="7D7BA6CB"/>
    <w:rsid w:val="7DC6385D"/>
    <w:rsid w:val="7FAECE31"/>
    <w:rsid w:val="89BF9DDE"/>
    <w:rsid w:val="ADE5932C"/>
    <w:rsid w:val="B96B265F"/>
    <w:rsid w:val="BEFFE9A6"/>
    <w:rsid w:val="BFEF40EB"/>
    <w:rsid w:val="FBB6C1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tabs>
        <w:tab w:val="left" w:pos="720"/>
      </w:tabs>
      <w:adjustRightInd w:val="0"/>
      <w:snapToGrid w:val="0"/>
      <w:spacing w:line="360" w:lineRule="auto"/>
      <w:ind w:firstLine="480"/>
    </w:pPr>
    <w:rPr>
      <w:rFonts w:eastAsia="仿宋_GB2312"/>
      <w:sz w:val="24"/>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tabs>
        <w:tab w:val="left" w:pos="720"/>
      </w:tabs>
      <w:adjustRightInd w:val="0"/>
      <w:snapToGrid w:val="0"/>
      <w:spacing w:line="360" w:lineRule="auto"/>
      <w:ind w:firstLine="540"/>
    </w:pPr>
    <w:rPr>
      <w:rFonts w:eastAsia="仿宋_GB2312"/>
      <w:sz w:val="24"/>
    </w:rPr>
  </w:style>
  <w:style w:type="character" w:styleId="9">
    <w:name w:val="Strong"/>
    <w:basedOn w:val="8"/>
    <w:qFormat/>
    <w:uiPriority w:val="0"/>
    <w:rPr>
      <w:b/>
    </w:rPr>
  </w:style>
  <w:style w:type="paragraph" w:customStyle="1" w:styleId="10">
    <w:name w:val="List Paragraph"/>
    <w:basedOn w:val="1"/>
    <w:qFormat/>
    <w:uiPriority w:val="34"/>
    <w:pPr>
      <w:ind w:firstLine="420" w:firstLineChars="200"/>
    </w:pPr>
  </w:style>
  <w:style w:type="character" w:customStyle="1" w:styleId="11">
    <w:name w:val="页眉 Char"/>
    <w:basedOn w:val="8"/>
    <w:link w:val="5"/>
    <w:qFormat/>
    <w:uiPriority w:val="99"/>
    <w:rPr>
      <w:rFonts w:ascii="Calibri" w:hAnsi="Calibri" w:eastAsia="宋体" w:cs="Times New Roman"/>
      <w:sz w:val="18"/>
      <w:szCs w:val="18"/>
    </w:rPr>
  </w:style>
  <w:style w:type="character" w:customStyle="1" w:styleId="12">
    <w:name w:val="页脚 Char"/>
    <w:basedOn w:val="8"/>
    <w:link w:val="4"/>
    <w:qFormat/>
    <w:uiPriority w:val="99"/>
    <w:rPr>
      <w:rFonts w:ascii="Calibri" w:hAnsi="Calibri" w:eastAsia="宋体" w:cs="Times New Roman"/>
      <w:sz w:val="18"/>
      <w:szCs w:val="18"/>
    </w:rPr>
  </w:style>
  <w:style w:type="character" w:customStyle="1" w:styleId="13">
    <w:name w:val="批注框文本 Char"/>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5699</Words>
  <Characters>32487</Characters>
  <Lines>270</Lines>
  <Paragraphs>76</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2021-06-20T10:51:00Z</dcterms:created>
  <dc:creator>view01</dc:creator>
  <cp:lastModifiedBy>芒果麻麻</cp:lastModifiedBy>
  <cp:lastPrinted>2021-06-21T08:32:00Z</cp:lastPrinted>
  <dcterms:modified xsi:type="dcterms:W3CDTF">2021-08-24T03:07:08Z</dcterms:modified>
  <dc:title>附件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B75F423514064B308863950AB9F510AB</vt:lpwstr>
  </property>
</Properties>
</file>