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40" w:lineRule="exact"/>
        <w:jc w:val="left"/>
        <w:rPr>
          <w:rFonts w:hint="default" w:ascii="Times New Roman" w:hAnsi="Times New Roman" w:eastAsia="黑体" w:cs="黑体"/>
          <w:kern w:val="0"/>
          <w:sz w:val="32"/>
          <w:szCs w:val="32"/>
          <w:lang w:val="en-US" w:eastAsia="zh-CN"/>
        </w:rPr>
      </w:pPr>
      <w:r>
        <w:rPr>
          <w:rFonts w:hint="eastAsia" w:ascii="Times New Roman" w:hAnsi="Times New Roman" w:eastAsia="黑体" w:cs="黑体"/>
          <w:kern w:val="0"/>
          <w:sz w:val="32"/>
          <w:szCs w:val="32"/>
          <w:lang w:val="en-US" w:eastAsia="zh-CN"/>
        </w:rPr>
        <w:t>附件14</w:t>
      </w:r>
      <w:bookmarkStart w:id="0" w:name="_GoBack"/>
      <w:bookmarkEnd w:id="0"/>
    </w:p>
    <w:p>
      <w:pPr>
        <w:widowControl/>
        <w:spacing w:line="540" w:lineRule="exact"/>
        <w:jc w:val="both"/>
        <w:rPr>
          <w:rFonts w:hint="eastAsia" w:ascii="方正小标宋_GBK" w:hAnsi="方正小标宋_GBK" w:eastAsia="方正小标宋_GBK" w:cs="方正小标宋_GBK"/>
          <w:kern w:val="0"/>
          <w:sz w:val="44"/>
          <w:szCs w:val="44"/>
        </w:rPr>
      </w:pPr>
    </w:p>
    <w:p>
      <w:pPr>
        <w:widowControl/>
        <w:spacing w:line="540" w:lineRule="exact"/>
        <w:jc w:val="center"/>
        <w:rPr>
          <w:rFonts w:hint="eastAsia" w:ascii="Times New Roman" w:hAnsi="Times New Roman" w:eastAsia="方正小标宋_GBK"/>
          <w:kern w:val="0"/>
          <w:lang w:val="en-US" w:eastAsia="zh-CN"/>
        </w:rPr>
      </w:pPr>
      <w:r>
        <w:rPr>
          <w:rFonts w:hint="eastAsia" w:ascii="方正小标宋_GBK" w:hAnsi="方正小标宋_GBK" w:eastAsia="方正小标宋_GBK" w:cs="方正小标宋_GBK"/>
          <w:kern w:val="0"/>
          <w:sz w:val="44"/>
          <w:szCs w:val="44"/>
        </w:rPr>
        <w:t>药品零售企业许可具体管理措施</w:t>
      </w:r>
      <w:r>
        <w:rPr>
          <w:rFonts w:hint="eastAsia" w:ascii="方正小标宋_GBK" w:hAnsi="方正小标宋_GBK" w:eastAsia="方正小标宋_GBK" w:cs="方正小标宋_GBK"/>
          <w:kern w:val="0"/>
          <w:sz w:val="44"/>
          <w:szCs w:val="44"/>
          <w:lang w:eastAsia="zh-CN"/>
        </w:rPr>
        <w:t>（区县）</w:t>
      </w:r>
    </w:p>
    <w:p>
      <w:pPr>
        <w:widowControl/>
        <w:spacing w:line="540" w:lineRule="exact"/>
        <w:ind w:firstLine="640" w:firstLineChars="200"/>
        <w:jc w:val="left"/>
        <w:rPr>
          <w:rFonts w:hint="eastAsia" w:ascii="Times New Roman" w:hAnsi="Times New Roman" w:eastAsia="楷体_GB2312" w:cs="楷体_GB2312"/>
          <w:kern w:val="0"/>
          <w:sz w:val="32"/>
          <w:szCs w:val="32"/>
        </w:rPr>
      </w:pP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一、责任处室</w:t>
      </w:r>
    </w:p>
    <w:p>
      <w:pPr>
        <w:widowControl/>
        <w:spacing w:line="540"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行政审批处、药品流通监督管理处</w:t>
      </w:r>
    </w:p>
    <w:p>
      <w:pPr>
        <w:widowControl/>
        <w:spacing w:line="540" w:lineRule="exact"/>
        <w:ind w:firstLine="640" w:firstLineChars="200"/>
        <w:jc w:val="left"/>
        <w:rPr>
          <w:rFonts w:hint="eastAsia"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lang w:eastAsia="zh-CN"/>
        </w:rPr>
        <w:t>二、</w:t>
      </w:r>
      <w:r>
        <w:rPr>
          <w:rFonts w:hint="eastAsia" w:ascii="方正黑体_GBK" w:hAnsi="方正黑体_GBK" w:eastAsia="方正黑体_GBK" w:cs="方正黑体_GBK"/>
          <w:kern w:val="0"/>
          <w:sz w:val="32"/>
          <w:szCs w:val="32"/>
        </w:rPr>
        <w:t>改革内容</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根据《国务院关于深化“证照分离”改革进一步激发市场主体发展活力的</w:t>
      </w:r>
      <w:r>
        <w:rPr>
          <w:rFonts w:hint="eastAsia" w:ascii="方正仿宋_GBK" w:hAnsi="方正仿宋_GBK" w:eastAsia="方正仿宋_GBK" w:cs="方正仿宋_GBK"/>
          <w:kern w:val="0"/>
          <w:sz w:val="32"/>
          <w:szCs w:val="32"/>
        </w:rPr>
        <w:t>通知》（国发〔2021〕7号）</w:t>
      </w:r>
      <w:r>
        <w:rPr>
          <w:rFonts w:hint="eastAsia" w:ascii="方正仿宋_GBK" w:hAnsi="方正仿宋_GBK" w:eastAsia="方正仿宋_GBK" w:cs="方正仿宋_GBK"/>
          <w:kern w:val="0"/>
          <w:sz w:val="32"/>
          <w:szCs w:val="32"/>
          <w:lang w:val="en-US" w:eastAsia="zh-CN"/>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kern w:val="0"/>
          <w:sz w:val="32"/>
          <w:szCs w:val="32"/>
        </w:rPr>
        <w:t>，对“药品零售企业许可”由</w:t>
      </w:r>
      <w:r>
        <w:rPr>
          <w:rFonts w:hint="eastAsia" w:ascii="方正仿宋_GBK" w:hAnsi="方正仿宋_GBK" w:eastAsia="方正仿宋_GBK" w:cs="方正仿宋_GBK"/>
          <w:color w:val="auto"/>
          <w:kern w:val="0"/>
          <w:sz w:val="32"/>
          <w:szCs w:val="32"/>
          <w:lang w:eastAsia="zh-CN"/>
        </w:rPr>
        <w:t>区县市场监督管理局实行</w:t>
      </w:r>
      <w:r>
        <w:rPr>
          <w:rFonts w:hint="eastAsia" w:ascii="方正仿宋_GBK" w:hAnsi="方正仿宋_GBK" w:eastAsia="方正仿宋_GBK" w:cs="方正仿宋_GBK"/>
          <w:color w:val="auto"/>
          <w:kern w:val="0"/>
          <w:sz w:val="32"/>
          <w:szCs w:val="32"/>
        </w:rPr>
        <w:t>优</w:t>
      </w:r>
      <w:r>
        <w:rPr>
          <w:rFonts w:hint="eastAsia" w:ascii="方正仿宋_GBK" w:hAnsi="方正仿宋_GBK" w:eastAsia="方正仿宋_GBK" w:cs="方正仿宋_GBK"/>
          <w:kern w:val="0"/>
          <w:sz w:val="32"/>
          <w:szCs w:val="32"/>
        </w:rPr>
        <w:t>化审批服务，不再要求申请人提供营业执照等材料。</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三、法律依据</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lang w:eastAsia="zh-CN"/>
        </w:rPr>
        <w:t>《</w:t>
      </w:r>
      <w:r>
        <w:rPr>
          <w:rFonts w:hint="eastAsia" w:ascii="方正仿宋_GBK" w:hAnsi="方正仿宋_GBK" w:eastAsia="方正仿宋_GBK" w:cs="方正仿宋_GBK"/>
          <w:kern w:val="0"/>
          <w:sz w:val="32"/>
          <w:szCs w:val="32"/>
        </w:rPr>
        <w:t>中华人民共和国药品管理法》</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《中华人民共和国药品管理法实施条例》</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《药品经营许可证管理办法》</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四、许可条件</w:t>
      </w:r>
    </w:p>
    <w:p>
      <w:pPr>
        <w:adjustRightInd w:val="0"/>
        <w:snapToGrid w:val="0"/>
        <w:spacing w:line="54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根据《中华人民共和国药品管理法》（2019年8月修订）第五十二条，从事药品经营活动应当具备以下条件:</w:t>
      </w:r>
    </w:p>
    <w:p>
      <w:pPr>
        <w:adjustRightInd w:val="0"/>
        <w:snapToGrid w:val="0"/>
        <w:spacing w:line="540" w:lineRule="exac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1.有依法经过资格认定的药师或者其他药学技术人员；</w:t>
      </w:r>
    </w:p>
    <w:p>
      <w:pPr>
        <w:adjustRightInd w:val="0"/>
        <w:snapToGrid w:val="0"/>
        <w:spacing w:line="540"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2.有与所经营药品相适应的营业场所、设备、仓储设施和卫生环境；</w:t>
      </w:r>
    </w:p>
    <w:p>
      <w:pPr>
        <w:adjustRightInd w:val="0"/>
        <w:snapToGrid w:val="0"/>
        <w:spacing w:line="540"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3.有与所经营药品相适应的质量管理机构或者人员；</w:t>
      </w:r>
    </w:p>
    <w:p>
      <w:pPr>
        <w:adjustRightInd w:val="0"/>
        <w:snapToGrid w:val="0"/>
        <w:spacing w:line="540"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有保证药品质量的规章制度，并符合国务院药品监督管理部门依据本法制定的药品经营质量管理规范要求。</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rPr>
        <w:t>根据《药品经营许可证管理办法》（国家食品药品监督管理局令第6号公告，根据2017年11月17日国家食品药品监督管理总局令第37号《国家食品药品监督管理局总局关于修改部分规章的决定》修正，下同）第五条 开办药品零售企业，应符合当地常住人口数量、地域、交通状况和实际需要的要求，符合方便群众购药的原则，并符合以下设置规定：</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xml:space="preserve">    1.具有保证所经营药品质量的规章制度；</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2.具有依法经过资格认定的药学技术人员；</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3.企业、企业法定代表人、企业负责人、质量负责人无《药品管理法》第75条、第82条规定情形的；</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4.具有与所经营药品相适应的营业场所、设备、仓储设施以及卫生环境。在超市等其他商业企业内设立零售药店的，必须具有独立的区域；</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5.具有能够配备满足当地消费者所需药品的能力，并能保证24小时供应。药品零售企业应备有的国家基本药物品种数量由各省、自治区、直辖市药品监督管理部门结合当地具体情况确定。</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国家对经营麻醉药品、精神药品、医疗用毒性药品、预防性生物制品另有规定的，从其规定。</w:t>
      </w:r>
    </w:p>
    <w:p>
      <w:pPr>
        <w:widowControl/>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五、材料要求</w:t>
      </w:r>
    </w:p>
    <w:p>
      <w:pPr>
        <w:adjustRightInd w:val="0"/>
        <w:snapToGrid w:val="0"/>
        <w:spacing w:line="540" w:lineRule="exact"/>
        <w:ind w:firstLine="480" w:firstLineChars="150"/>
        <w:rPr>
          <w:rFonts w:hint="eastAsia" w:ascii="方正仿宋_GBK" w:hAnsi="方正仿宋_GBK" w:eastAsia="方正仿宋_GBK" w:cs="方正仿宋_GBK"/>
          <w:sz w:val="32"/>
          <w:szCs w:val="32"/>
        </w:rPr>
      </w:pPr>
      <w:r>
        <w:rPr>
          <w:rFonts w:hint="eastAsia" w:ascii="仿宋_GB2312" w:hAnsi="黑体" w:eastAsia="仿宋_GB2312"/>
          <w:sz w:val="32"/>
          <w:szCs w:val="32"/>
          <w:lang w:val="en-US" w:eastAsia="zh-CN"/>
        </w:rPr>
        <w:t xml:space="preserve"> </w:t>
      </w:r>
      <w:r>
        <w:rPr>
          <w:rFonts w:hint="eastAsia" w:ascii="方正仿宋_GBK" w:hAnsi="方正仿宋_GBK" w:eastAsia="方正仿宋_GBK" w:cs="方正仿宋_GBK"/>
          <w:sz w:val="32"/>
          <w:szCs w:val="32"/>
        </w:rPr>
        <w:t>1.拟办企业法定代表人、企业负责人、质量负责人的学历、执业资格或职称证明原件、复印件及个人简历及专业技术人员资格证书、聘书；</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2.拟经营药品的范围；</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3.拟设营业场所、仓储设施、设备情况;</w:t>
      </w:r>
    </w:p>
    <w:p>
      <w:pPr>
        <w:adjustRightInd w:val="0"/>
        <w:snapToGrid w:val="0"/>
        <w:spacing w:line="540" w:lineRule="exact"/>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4.药品经营许可证申请表；</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5.营业场所、仓库平面布置图及房屋产权或使用权证明；</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6.依法经过资格认定的药学专业技术人员资格证书及聘书；</w:t>
      </w:r>
      <w:r>
        <w:rPr>
          <w:rFonts w:hint="eastAsia" w:ascii="方正仿宋_GBK" w:hAnsi="方正仿宋_GBK" w:eastAsia="方正仿宋_GBK" w:cs="方正仿宋_GBK"/>
          <w:sz w:val="32"/>
          <w:szCs w:val="32"/>
        </w:rPr>
        <w:br w:type="textWrapping"/>
      </w:r>
      <w:r>
        <w:rPr>
          <w:rFonts w:hint="eastAsia" w:ascii="方正仿宋_GBK" w:hAnsi="方正仿宋_GBK" w:eastAsia="方正仿宋_GBK" w:cs="方正仿宋_GBK"/>
          <w:sz w:val="32"/>
          <w:szCs w:val="32"/>
        </w:rPr>
        <w:t>　　7.拟办企业质量管理文件及主要设施、设备目录。</w:t>
      </w:r>
    </w:p>
    <w:p>
      <w:pPr>
        <w:widowControl/>
        <w:numPr>
          <w:ilvl w:val="0"/>
          <w:numId w:val="1"/>
        </w:numPr>
        <w:spacing w:line="540"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程序环节</w:t>
      </w:r>
    </w:p>
    <w:p>
      <w:pPr>
        <w:widowControl/>
        <w:spacing w:line="594" w:lineRule="exact"/>
        <w:rPr>
          <w:rFonts w:hint="eastAsia" w:ascii="方正仿宋_GBK" w:hAnsi="方正仿宋_GBK" w:eastAsia="方正仿宋_GBK" w:cs="方正仿宋_GBK"/>
          <w:color w:val="auto"/>
          <w:kern w:val="0"/>
          <w:sz w:val="32"/>
          <w:szCs w:val="32"/>
        </w:rPr>
      </w:pPr>
      <w:r>
        <w:rPr>
          <w:rFonts w:hint="eastAsia" w:ascii="方正黑体_GBK" w:hAnsi="方正黑体_GBK" w:eastAsia="方正黑体_GBK" w:cs="方正黑体_GBK"/>
          <w:kern w:val="0"/>
          <w:sz w:val="32"/>
          <w:szCs w:val="32"/>
          <w:lang w:val="en-US" w:eastAsia="zh-CN"/>
        </w:rPr>
        <w:t xml:space="preserve"> </w:t>
      </w:r>
      <w:r>
        <w:rPr>
          <w:rFonts w:hint="eastAsia" w:ascii="方正黑体_GBK" w:hAnsi="方正黑体_GBK" w:eastAsia="方正黑体_GBK" w:cs="方正黑体_GBK"/>
          <w:color w:val="auto"/>
          <w:kern w:val="0"/>
          <w:sz w:val="32"/>
          <w:szCs w:val="32"/>
          <w:lang w:val="en-US" w:eastAsia="zh-CN"/>
        </w:rPr>
        <w:t xml:space="preserve"> </w:t>
      </w:r>
      <w:r>
        <w:rPr>
          <w:rFonts w:hint="eastAsia" w:ascii="方正楷体_GBK" w:hAnsi="方正楷体_GBK" w:eastAsia="方正楷体_GBK" w:cs="方正楷体_GBK"/>
          <w:color w:val="auto"/>
          <w:kern w:val="0"/>
          <w:sz w:val="32"/>
          <w:szCs w:val="32"/>
          <w:lang w:val="en-US" w:eastAsia="zh-CN"/>
        </w:rPr>
        <w:t xml:space="preserve">  </w:t>
      </w:r>
      <w:r>
        <w:rPr>
          <w:rFonts w:hint="eastAsia" w:ascii="方正楷体_GBK" w:hAnsi="方正楷体_GBK" w:eastAsia="方正楷体_GBK" w:cs="方正楷体_GBK"/>
          <w:color w:val="auto"/>
          <w:kern w:val="0"/>
          <w:sz w:val="32"/>
          <w:szCs w:val="32"/>
        </w:rPr>
        <w:t>（一）审批层级</w:t>
      </w:r>
    </w:p>
    <w:p>
      <w:pPr>
        <w:widowControl/>
        <w:spacing w:line="594" w:lineRule="exact"/>
        <w:ind w:firstLine="640" w:firstLineChars="200"/>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 xml:space="preserve">1.受理机构: </w:t>
      </w:r>
      <w:r>
        <w:rPr>
          <w:rFonts w:hint="eastAsia" w:ascii="方正仿宋_GBK" w:hAnsi="方正仿宋_GBK" w:eastAsia="方正仿宋_GBK" w:cs="方正仿宋_GBK"/>
          <w:color w:val="auto"/>
          <w:kern w:val="0"/>
          <w:sz w:val="32"/>
          <w:szCs w:val="32"/>
          <w:lang w:eastAsia="zh-CN"/>
        </w:rPr>
        <w:t>区县市场监督管理局</w:t>
      </w:r>
    </w:p>
    <w:p>
      <w:pPr>
        <w:widowControl/>
        <w:spacing w:line="594" w:lineRule="exact"/>
        <w:ind w:firstLine="640" w:firstLineChars="200"/>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 xml:space="preserve">2.决定机构: </w:t>
      </w:r>
      <w:r>
        <w:rPr>
          <w:rFonts w:hint="eastAsia" w:ascii="方正仿宋_GBK" w:hAnsi="方正仿宋_GBK" w:eastAsia="方正仿宋_GBK" w:cs="方正仿宋_GBK"/>
          <w:color w:val="auto"/>
          <w:kern w:val="0"/>
          <w:sz w:val="32"/>
          <w:szCs w:val="32"/>
          <w:lang w:eastAsia="zh-CN"/>
        </w:rPr>
        <w:t>区县市场监督管理局</w:t>
      </w:r>
    </w:p>
    <w:p>
      <w:pPr>
        <w:widowControl/>
        <w:spacing w:line="594" w:lineRule="exact"/>
        <w:rPr>
          <w:rFonts w:hint="eastAsia" w:ascii="方正楷体_GBK" w:hAnsi="方正楷体_GBK" w:eastAsia="方正楷体_GBK" w:cs="方正楷体_GBK"/>
          <w:color w:val="auto"/>
          <w:kern w:val="0"/>
          <w:sz w:val="32"/>
          <w:szCs w:val="32"/>
          <w:lang w:eastAsia="zh-CN"/>
        </w:rPr>
      </w:pPr>
      <w:r>
        <w:rPr>
          <w:rFonts w:hint="eastAsia" w:ascii="方正楷体_GBK" w:hAnsi="方正楷体_GBK" w:eastAsia="方正楷体_GBK" w:cs="方正楷体_GBK"/>
          <w:color w:val="auto"/>
          <w:kern w:val="0"/>
          <w:sz w:val="32"/>
          <w:szCs w:val="32"/>
          <w:lang w:val="en-US" w:eastAsia="zh-CN"/>
        </w:rPr>
        <w:t xml:space="preserve">   </w:t>
      </w:r>
      <w:r>
        <w:rPr>
          <w:rFonts w:hint="eastAsia" w:ascii="方正楷体_GBK" w:hAnsi="方正楷体_GBK" w:eastAsia="方正楷体_GBK" w:cs="方正楷体_GBK"/>
          <w:color w:val="auto"/>
          <w:kern w:val="0"/>
          <w:sz w:val="32"/>
          <w:szCs w:val="32"/>
        </w:rPr>
        <w:t>（二）办理流程</w:t>
      </w:r>
    </w:p>
    <w:p>
      <w:pPr>
        <w:widowControl/>
        <w:spacing w:line="54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1.申办人向拟办企业所在地区县市场监督管理部门提出申请，并提交相关材料。</w:t>
      </w:r>
    </w:p>
    <w:p>
      <w:pPr>
        <w:widowControl/>
        <w:spacing w:line="54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区县市场监督管理部门对申办人提出的申请根据情况作出处理：不属于部门职权范围的，应当即时作出不予受理的决定，发给《不予受理通知书》，并告知申办人向有关药品监督管理部门申请；申请材料存在可以当场更正错误的，应当允许申办人当场更正；申请材料不齐或者不符合法定形式的，应当当场或者在5日内发给申办人《补正材料通知书》，一次性告知需要补正的全部内容。逾期不告知的，自收到申请材料之日起即为受理；申请事项属于本部门职权范围，材料齐全、符合法定形式，或者申办人按要求提交全部补正材料的，发给申办人《受理通知书》。《受理通知书》中注明的日期为受理日期。</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.受理申请的</w:t>
      </w:r>
      <w:r>
        <w:rPr>
          <w:rFonts w:hint="eastAsia" w:ascii="方正仿宋_GBK" w:hAnsi="方正仿宋_GBK" w:eastAsia="方正仿宋_GBK" w:cs="方正仿宋_GBK"/>
          <w:kern w:val="0"/>
          <w:sz w:val="32"/>
          <w:szCs w:val="32"/>
        </w:rPr>
        <w:t>区县市场监督管理部门</w:t>
      </w:r>
      <w:r>
        <w:rPr>
          <w:rFonts w:hint="eastAsia" w:ascii="方正仿宋_GBK" w:hAnsi="方正仿宋_GBK" w:eastAsia="方正仿宋_GBK" w:cs="方正仿宋_GBK"/>
          <w:sz w:val="32"/>
          <w:szCs w:val="32"/>
        </w:rPr>
        <w:t>在收到申请之日起</w:t>
      </w:r>
      <w:r>
        <w:rPr>
          <w:rFonts w:hint="eastAsia" w:ascii="方正仿宋_GBK" w:hAnsi="方正仿宋_GBK" w:eastAsia="方正仿宋_GBK" w:cs="方正仿宋_GBK"/>
          <w:sz w:val="32"/>
          <w:szCs w:val="32"/>
          <w:lang w:val="en-US" w:eastAsia="zh-CN"/>
        </w:rPr>
        <w:t>15</w:t>
      </w:r>
      <w:r>
        <w:rPr>
          <w:rFonts w:hint="eastAsia" w:ascii="方正仿宋_GBK" w:hAnsi="方正仿宋_GBK" w:eastAsia="方正仿宋_GBK" w:cs="方正仿宋_GBK"/>
          <w:sz w:val="32"/>
          <w:szCs w:val="32"/>
        </w:rPr>
        <w:t>个工作日内，对申报材料进行审查，并依据检查细则组织现场检查，作出是否发给《药品经营许可证》的决定。不符合条件的，应当书面通知申办人并说明理由，同时告知申办人享有依法申请行政复议或提前行政诉讼的权利。</w:t>
      </w:r>
    </w:p>
    <w:p>
      <w:pPr>
        <w:widowControl/>
        <w:spacing w:line="594" w:lineRule="exact"/>
        <w:rPr>
          <w:rFonts w:hint="eastAsia" w:ascii="方正楷体_GBK" w:hAnsi="方正楷体_GBK" w:eastAsia="方正楷体_GBK" w:cs="方正楷体_GBK"/>
          <w:color w:val="auto"/>
          <w:kern w:val="0"/>
          <w:sz w:val="32"/>
          <w:szCs w:val="32"/>
          <w:lang w:val="en-US" w:eastAsia="zh-CN"/>
        </w:rPr>
      </w:pPr>
      <w:r>
        <w:rPr>
          <w:rFonts w:hint="eastAsia" w:ascii="方正楷体_GBK" w:hAnsi="方正楷体_GBK" w:eastAsia="方正楷体_GBK" w:cs="方正楷体_GBK"/>
          <w:color w:val="auto"/>
          <w:kern w:val="0"/>
          <w:sz w:val="32"/>
          <w:szCs w:val="32"/>
          <w:lang w:val="en-US" w:eastAsia="zh-CN"/>
        </w:rPr>
        <w:t xml:space="preserve">    （三）审批时限</w:t>
      </w:r>
    </w:p>
    <w:p>
      <w:pPr>
        <w:widowControl/>
        <w:numPr>
          <w:ilvl w:val="0"/>
          <w:numId w:val="0"/>
        </w:numPr>
        <w:spacing w:line="594" w:lineRule="exact"/>
        <w:ind w:firstLine="640" w:firstLineChars="200"/>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sz w:val="32"/>
          <w:szCs w:val="32"/>
          <w:lang w:val="en-US" w:eastAsia="zh-CN"/>
        </w:rPr>
        <w:t>法定时限：15个工作日。</w:t>
      </w:r>
    </w:p>
    <w:p>
      <w:pPr>
        <w:widowControl/>
        <w:spacing w:line="540" w:lineRule="exact"/>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val="en-US" w:eastAsia="zh-CN"/>
        </w:rPr>
        <w:t xml:space="preserve">    </w:t>
      </w:r>
      <w:r>
        <w:rPr>
          <w:rFonts w:hint="eastAsia" w:ascii="方正黑体_GBK" w:hAnsi="方正黑体_GBK" w:eastAsia="方正黑体_GBK" w:cs="方正黑体_GBK"/>
          <w:kern w:val="0"/>
          <w:sz w:val="32"/>
          <w:szCs w:val="32"/>
          <w:lang w:eastAsia="zh-CN"/>
        </w:rPr>
        <w:t>七、监管措施</w:t>
      </w:r>
    </w:p>
    <w:p>
      <w:pPr>
        <w:widowControl/>
        <w:spacing w:line="54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w:t>
      </w:r>
      <w:r>
        <w:rPr>
          <w:rFonts w:hint="eastAsia"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sz w:val="32"/>
          <w:szCs w:val="32"/>
        </w:rPr>
        <w:t>落实“四个最严”要求，制定年度监管计划，突出监管重点，强化风险控制。</w:t>
      </w:r>
    </w:p>
    <w:p>
      <w:pPr>
        <w:widowControl/>
        <w:spacing w:line="54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sz w:val="32"/>
          <w:szCs w:val="32"/>
        </w:rPr>
        <w:t>通过日常监管督促企业不断完善、改进质量管理体系，持续合法合规经营。</w:t>
      </w:r>
    </w:p>
    <w:p>
      <w:pPr>
        <w:widowControl/>
        <w:spacing w:line="54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w:t>
      </w:r>
      <w:r>
        <w:rPr>
          <w:rFonts w:hint="eastAsia"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sz w:val="32"/>
          <w:szCs w:val="32"/>
        </w:rPr>
        <w:t>对违法违规行为，依法严厉查处并公开曝光。</w:t>
      </w:r>
    </w:p>
    <w:p>
      <w:pPr>
        <w:widowControl/>
        <w:spacing w:line="54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4.及时向社会公开许可信息，加强社会监督。</w:t>
      </w:r>
    </w:p>
    <w:p>
      <w:pPr>
        <w:widowControl/>
        <w:spacing w:line="54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5.加强抽检监测。对监督抽检中发现的不符合规定产品和违法违规行为，依法进行查处。</w:t>
      </w:r>
    </w:p>
    <w:p>
      <w:pPr>
        <w:widowControl/>
        <w:spacing w:line="54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6.畅通投诉举报渠道，发挥12315投诉举报职能，强化社会监督，落实药品安全社会共治。</w:t>
      </w:r>
    </w:p>
    <w:p>
      <w:pPr>
        <w:widowControl/>
        <w:spacing w:line="540"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7.加强信用监管，依法依规对失信主体开展失信惩戒。</w:t>
      </w:r>
    </w:p>
    <w:p>
      <w:pPr>
        <w:widowControl/>
        <w:spacing w:line="540" w:lineRule="exact"/>
        <w:jc w:val="left"/>
        <w:rPr>
          <w:rFonts w:hint="eastAsia" w:ascii="方正黑体_GBK" w:hAnsi="方正黑体_GBK" w:eastAsia="方正黑体_GBK" w:cs="方正黑体_GBK"/>
          <w:kern w:val="0"/>
          <w:sz w:val="32"/>
          <w:szCs w:val="32"/>
        </w:rPr>
      </w:pPr>
      <w:r>
        <w:rPr>
          <w:rFonts w:hint="eastAsia" w:ascii="Times New Roman" w:hAnsi="Times New Roman" w:eastAsia="楷体_GB2312" w:cs="楷体_GB2312"/>
          <w:kern w:val="0"/>
          <w:sz w:val="32"/>
          <w:szCs w:val="32"/>
          <w:lang w:val="en-US" w:eastAsia="zh-CN"/>
        </w:rPr>
        <w:t xml:space="preserve">    </w:t>
      </w:r>
      <w:r>
        <w:rPr>
          <w:rFonts w:hint="eastAsia" w:ascii="方正黑体_GBK" w:hAnsi="方正黑体_GBK" w:eastAsia="方正黑体_GBK" w:cs="方正黑体_GBK"/>
          <w:kern w:val="0"/>
          <w:sz w:val="32"/>
          <w:szCs w:val="32"/>
          <w:lang w:val="en-US" w:eastAsia="zh-CN"/>
        </w:rPr>
        <w:t>八、</w:t>
      </w:r>
      <w:r>
        <w:rPr>
          <w:rFonts w:hint="eastAsia" w:ascii="方正黑体_GBK" w:hAnsi="方正黑体_GBK" w:eastAsia="方正黑体_GBK" w:cs="方正黑体_GBK"/>
          <w:kern w:val="0"/>
          <w:sz w:val="32"/>
          <w:szCs w:val="32"/>
        </w:rPr>
        <w:t>其他事项</w:t>
      </w:r>
    </w:p>
    <w:p>
      <w:pPr>
        <w:widowControl/>
        <w:spacing w:line="540" w:lineRule="exact"/>
        <w:ind w:firstLine="640" w:firstLineChars="200"/>
        <w:jc w:val="left"/>
        <w:rPr>
          <w:rFonts w:hint="eastAsia"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药品经营许可证的换发按照</w:t>
      </w:r>
      <w:r>
        <w:rPr>
          <w:rFonts w:hint="eastAsia" w:ascii="方正仿宋_GBK" w:hAnsi="方正仿宋_GBK" w:eastAsia="方正仿宋_GBK" w:cs="方正仿宋_GBK"/>
          <w:sz w:val="32"/>
          <w:szCs w:val="32"/>
        </w:rPr>
        <w:t>《中华人民共和国药品管理法实施条例》第十七条第一款，《药品经营许可证管理办法》</w:t>
      </w:r>
      <w:r>
        <w:rPr>
          <w:rFonts w:hint="eastAsia" w:ascii="方正仿宋_GBK" w:hAnsi="方正仿宋_GBK" w:eastAsia="方正仿宋_GBK" w:cs="方正仿宋_GBK"/>
          <w:kern w:val="0"/>
          <w:sz w:val="32"/>
          <w:szCs w:val="32"/>
        </w:rPr>
        <w:t>第十九条第一款执行。</w:t>
      </w:r>
    </w:p>
    <w:p>
      <w:pPr>
        <w:widowControl/>
        <w:spacing w:line="540" w:lineRule="exact"/>
        <w:jc w:val="left"/>
        <w:rPr>
          <w:rFonts w:ascii="Times New Roman" w:hAnsi="Times New Roman" w:eastAsia="仿宋_GB2312"/>
          <w:kern w:val="0"/>
          <w:sz w:val="32"/>
          <w:szCs w:val="32"/>
        </w:rPr>
      </w:pPr>
    </w:p>
    <w:p/>
    <w:sectPr>
      <w:pgSz w:w="11906" w:h="16838"/>
      <w:pgMar w:top="1417" w:right="1417" w:bottom="1417" w:left="1417"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19ED30"/>
    <w:multiLevelType w:val="singleLevel"/>
    <w:tmpl w:val="6119ED30"/>
    <w:lvl w:ilvl="0" w:tentative="0">
      <w:start w:val="6"/>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68BB7879"/>
    <w:rsid w:val="1C28797E"/>
    <w:rsid w:val="1C58538F"/>
    <w:rsid w:val="1DDF7B03"/>
    <w:rsid w:val="22756B77"/>
    <w:rsid w:val="22BC6789"/>
    <w:rsid w:val="26023BEC"/>
    <w:rsid w:val="2F0C6D4E"/>
    <w:rsid w:val="3E4E4846"/>
    <w:rsid w:val="40686598"/>
    <w:rsid w:val="41F67DB2"/>
    <w:rsid w:val="47A94282"/>
    <w:rsid w:val="497747FD"/>
    <w:rsid w:val="4A1A0803"/>
    <w:rsid w:val="4DB11E43"/>
    <w:rsid w:val="51BD10D4"/>
    <w:rsid w:val="584A5DA7"/>
    <w:rsid w:val="685C1DC4"/>
    <w:rsid w:val="68BB7879"/>
    <w:rsid w:val="7678290C"/>
    <w:rsid w:val="78377C84"/>
    <w:rsid w:val="786651FD"/>
    <w:rsid w:val="78D37DAF"/>
    <w:rsid w:val="7A1328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2021-08-06T01:12:00Z</dcterms:created>
  <dc:creator>廖磊</dc:creator>
  <cp:lastModifiedBy>芒果麻麻</cp:lastModifiedBy>
  <dcterms:modified xsi:type="dcterms:W3CDTF">2021-08-24T03:06:49Z</dcterms:modified>
  <dc:title>附件20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2E425DB76A3E40FF87CD3CECA54E9AC3</vt:lpwstr>
  </property>
</Properties>
</file>