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附件13</w:t>
      </w:r>
      <w:bookmarkStart w:id="0" w:name="_GoBack"/>
      <w:bookmarkEnd w:id="0"/>
    </w:p>
    <w:p>
      <w:pPr>
        <w:numPr>
          <w:ilvl w:val="0"/>
          <w:numId w:val="0"/>
        </w:numPr>
        <w:wordWrap/>
        <w:jc w:val="left"/>
        <w:rPr>
          <w:rFonts w:hint="eastAsia" w:ascii="方正仿宋_GBK" w:hAnsi="方正仿宋_GBK" w:cs="方正仿宋_GBK"/>
          <w:color w:val="0000FF"/>
          <w:spacing w:val="-4"/>
          <w:sz w:val="32"/>
          <w:szCs w:val="32"/>
          <w:highlight w:val="none"/>
          <w:lang w:val="en-US" w:eastAsia="zh-CN"/>
        </w:rPr>
      </w:pPr>
    </w:p>
    <w:p>
      <w:pPr>
        <w:widowControl/>
        <w:spacing w:line="540"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药品批发企业许可具体管理措施</w:t>
      </w:r>
    </w:p>
    <w:p>
      <w:pPr>
        <w:widowControl/>
        <w:spacing w:line="540" w:lineRule="exact"/>
        <w:ind w:firstLine="640" w:firstLineChars="200"/>
        <w:jc w:val="center"/>
        <w:rPr>
          <w:rFonts w:hint="eastAsia" w:ascii="Times New Roman" w:hAnsi="Times New Roman" w:eastAsia="黑体" w:cs="黑体"/>
          <w:kern w:val="0"/>
          <w:sz w:val="32"/>
          <w:szCs w:val="32"/>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行政审批处、药品流通监督管理处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二、</w:t>
      </w:r>
      <w:r>
        <w:rPr>
          <w:rFonts w:hint="eastAsia" w:ascii="方正黑体_GBK" w:hAnsi="方正黑体_GBK" w:eastAsia="方正黑体_GBK" w:cs="方正黑体_GBK"/>
          <w:kern w:val="0"/>
          <w:sz w:val="32"/>
          <w:szCs w:val="32"/>
        </w:rPr>
        <w:t>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，对“药品批发企业许可”</w:t>
      </w:r>
      <w:r>
        <w:rPr>
          <w:rFonts w:hint="eastAsia" w:ascii="方正仿宋_GBK" w:hAnsi="方正仿宋_GBK" w:eastAsia="方正仿宋_GBK" w:cs="方正仿宋_GBK"/>
          <w:sz w:val="32"/>
          <w:szCs w:val="32"/>
          <w:lang w:eastAsia="zh-CN"/>
        </w:rPr>
        <w:t>实行</w:t>
      </w:r>
      <w:r>
        <w:rPr>
          <w:rFonts w:hint="eastAsia" w:ascii="方正仿宋_GBK" w:hAnsi="方正仿宋_GBK" w:eastAsia="方正仿宋_GBK" w:cs="方正仿宋_GBK"/>
          <w:sz w:val="32"/>
          <w:szCs w:val="32"/>
        </w:rPr>
        <w:t>优化审批服务，不再要求申请人提供营业执照等材料。</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三、</w:t>
      </w:r>
      <w:r>
        <w:rPr>
          <w:rFonts w:hint="eastAsia" w:ascii="方正黑体_GBK" w:hAnsi="方正黑体_GBK" w:eastAsia="方正黑体_GBK" w:cs="方正黑体_GBK"/>
          <w:kern w:val="0"/>
          <w:sz w:val="32"/>
          <w:szCs w:val="32"/>
        </w:rPr>
        <w:t>法律依据</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《中华人民共和国药品管理法实施条例》</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《药品经营许可证管理办法》</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四、</w:t>
      </w:r>
      <w:r>
        <w:rPr>
          <w:rFonts w:hint="eastAsia" w:ascii="方正黑体_GBK" w:hAnsi="方正黑体_GBK" w:eastAsia="方正黑体_GBK" w:cs="方正黑体_GBK"/>
          <w:kern w:val="0"/>
          <w:sz w:val="32"/>
          <w:szCs w:val="32"/>
        </w:rPr>
        <w:t>许可条件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根据《中华人民共和国药品管理法》（2019年版）第五十二条，从事药品经营活动应当具备以下条件: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1.有依法经过资格认定的药师或者其他药学技术人员；</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2.有与所经营药品相适应的营业场所、设备、仓储设施和卫生环境；</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3.有与所经营药品相适应的质量管理机构或者人员；</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4.有保证药品质量的规章制度，并符合国务院药品监督管理部门依据本法制定的药品经营质量管理规范要求。</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根据《药品经营许可证管理办法》（国家食品药品监督管理局令第6号公告，根据2017年11月17日国家食品药品监督管理总局令第37号《国家食品药品监督管理局总局关于修改部分规章的决定》修正，下同）第四条 开办药品批发企业，应符合省、自治区、直辖市药品批发企业合理布局的要求，并符合以下设置标准：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1.具有保证所经营药品质量的规章制度；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2.企业、企业法定代表人或企业负责人、质量管理负责人无《药品管理法》第75条、第82条规定的情形（分别对应新修订《药品管理法》第一百一十八条、一百二十三条相关规定）；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3.具有与经营规模相适应的一定数量的执业药师。质量管理负责人具有大学以上学历，且必须是执业药师；</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4.具有能够保证药品储存质量要求的、与其经营品种和规模相适应的常温库、阴凉库、冷库。仓库中具有适合药品储存的专用货架和实现药品入库、传送、分检、上架、出库现代物流系统的装置和设备；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具有独立的计算机管理信息系统，能覆盖企业内药品的购进、储存、销售以及经营和质量控制的全过程；能全面记录企业经营管理及实施《药品经营质量管理规范》方面的信息；符合《药品经营质量管理规范》对药品经营各环节的要求，并具有可以实现接受当地药品监督管理部门监管的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6.具有符合《药品经营质量管理规范》对药品营业场所及辅助、办公用房以及仓库管理、仓库内药品质量安全保障和进出库、在库储存与养护方面的条件。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国家对经营麻醉药品、精神药品、医疗用毒性药品、预防性生物制品另有规定的，从其规定。</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五、</w:t>
      </w:r>
      <w:r>
        <w:rPr>
          <w:rFonts w:hint="eastAsia" w:ascii="方正黑体_GBK" w:hAnsi="方正黑体_GBK" w:eastAsia="方正黑体_GBK" w:cs="方正黑体_GBK"/>
          <w:kern w:val="0"/>
          <w:sz w:val="32"/>
          <w:szCs w:val="32"/>
        </w:rPr>
        <w:t>材料要求</w:t>
      </w:r>
    </w:p>
    <w:p>
      <w:pPr>
        <w:adjustRightInd w:val="0"/>
        <w:snapToGrid w:val="0"/>
        <w:spacing w:line="540" w:lineRule="exact"/>
        <w:rPr>
          <w:rFonts w:hint="eastAsia" w:ascii="方正仿宋_GBK" w:hAnsi="方正仿宋_GBK" w:eastAsia="方正仿宋_GBK" w:cs="方正仿宋_GBK"/>
          <w:sz w:val="32"/>
          <w:szCs w:val="32"/>
        </w:rPr>
      </w:pPr>
      <w:r>
        <w:rPr>
          <w:rFonts w:ascii="仿宋_GB2312" w:hAnsi="黑体" w:eastAsia="仿宋_GB2312"/>
          <w:sz w:val="32"/>
          <w:szCs w:val="32"/>
        </w:rPr>
        <w:t>　　</w:t>
      </w:r>
      <w:r>
        <w:rPr>
          <w:rFonts w:hint="eastAsia" w:ascii="方正仿宋_GBK" w:hAnsi="方正仿宋_GBK" w:eastAsia="方正仿宋_GBK" w:cs="方正仿宋_GBK"/>
          <w:sz w:val="32"/>
          <w:szCs w:val="32"/>
        </w:rPr>
        <w:t>1.拟办企业法定代表人、企业负责人、质量负责人学历证明原件、复印件及个人简历；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2.执业药师执业证书原件、复印件；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3.拟经营药品的范围；</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4.拟设营业场所、设备、仓储设施及周边卫生环境等情况。</w:t>
      </w:r>
    </w:p>
    <w:p>
      <w:pPr>
        <w:spacing w:line="540" w:lineRule="exac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5.药品经营许可证申请表；</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6.拟办企业组织机构情况；</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7.营业场所、仓库平面布置图及房屋产权或使用权证明；</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8.依法经过资格认定的药学专业技术人员资格证书及聘书；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9.拟办企业质量管理文件及仓储设施、设备目录。</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六、</w:t>
      </w:r>
      <w:r>
        <w:rPr>
          <w:rFonts w:hint="eastAsia" w:ascii="方正黑体_GBK" w:hAnsi="方正黑体_GBK" w:eastAsia="方正黑体_GBK" w:cs="方正黑体_GBK"/>
          <w:kern w:val="0"/>
          <w:sz w:val="32"/>
          <w:szCs w:val="32"/>
        </w:rPr>
        <w:t>程序环节</w:t>
      </w:r>
    </w:p>
    <w:p>
      <w:pPr>
        <w:widowControl/>
        <w:spacing w:line="594" w:lineRule="exact"/>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（一）审批层级</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1.受理机构: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2.决定机构: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40" w:lineRule="exact"/>
        <w:ind w:firstLine="640" w:firstLineChars="200"/>
        <w:jc w:val="left"/>
        <w:rPr>
          <w:rFonts w:hint="eastAsia" w:ascii="方正楷体_GBK" w:hAnsi="方正楷体_GBK" w:eastAsia="方正楷体_GBK" w:cs="方正楷体_GBK"/>
          <w:color w:val="auto"/>
          <w:kern w:val="0"/>
          <w:sz w:val="32"/>
          <w:szCs w:val="32"/>
          <w:lang w:eastAsia="zh-CN"/>
        </w:rPr>
      </w:pPr>
      <w:r>
        <w:rPr>
          <w:rFonts w:hint="eastAsia" w:ascii="方正楷体_GBK" w:hAnsi="方正楷体_GBK" w:eastAsia="方正楷体_GBK" w:cs="方正楷体_GBK"/>
          <w:color w:val="auto"/>
          <w:kern w:val="0"/>
          <w:sz w:val="32"/>
          <w:szCs w:val="32"/>
        </w:rPr>
        <w:t>（二）办理流程</w:t>
      </w:r>
    </w:p>
    <w:p>
      <w:pPr>
        <w:widowControl/>
        <w:spacing w:line="540" w:lineRule="exact"/>
        <w:jc w:val="left"/>
        <w:rPr>
          <w:rFonts w:hint="eastAsia" w:ascii="方正仿宋_GBK" w:hAnsi="方正仿宋_GBK" w:eastAsia="方正仿宋_GBK" w:cs="方正仿宋_GBK"/>
          <w:sz w:val="32"/>
          <w:szCs w:val="32"/>
        </w:rPr>
      </w:pPr>
      <w:r>
        <w:rPr>
          <w:rFonts w:hint="eastAsia" w:ascii="仿宋_GB2312" w:hAnsi="黑体" w:eastAsia="仿宋_GB2312"/>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1.申办人向</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提出申请，并提交相关材料;</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对申办人提出的申请根据情况作出处理：不属于部门职权范围的，应当即时作出不予受理的决定，发给《不予受理通知书》，并告知申办人向有关药品监督管理部门申请；申请材料存在可以当场更正错误的，应当允许申办人当场更正；申请材料不齐或者不符合法定形式的，应当当场或者在5日内发给申办人《补正材料通知书》，一次性告知需要补正的全部内容。逾期不告知的，自收到申请材料之日起即为受理；申请事项属于本部门职权范围，材料齐全、符合法定形式，或者申办人按要求提交全部补正材料的，发给申办人《受理通知书》。《受理通知书》中注明的日期为受理日期。</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在收到申请之日起30个工作日内，对申报材料进行审查，并依据检查细则组织现场检查，作出是否发给《药品经营许可证》的决定。符合条件的，发给《药品经营许可证》；不符合条件的，应当书面通知申办人并说明理由，同时告知申办人享有依法申请行政复议或提前行政诉讼的权利。</w:t>
      </w:r>
    </w:p>
    <w:p>
      <w:pPr>
        <w:widowControl/>
        <w:numPr>
          <w:ilvl w:val="0"/>
          <w:numId w:val="0"/>
        </w:numPr>
        <w:spacing w:line="594" w:lineRule="exact"/>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 xml:space="preserve">   </w:t>
      </w:r>
      <w:r>
        <w:rPr>
          <w:rFonts w:hint="eastAsia" w:ascii="方正楷体_GBK" w:hAnsi="方正楷体_GBK" w:eastAsia="方正楷体_GBK" w:cs="方正楷体_GBK"/>
          <w:color w:val="auto"/>
          <w:sz w:val="32"/>
          <w:szCs w:val="32"/>
          <w:lang w:val="en-US" w:eastAsia="zh-CN"/>
        </w:rPr>
        <w:t xml:space="preserve"> （三）审批时限</w:t>
      </w:r>
    </w:p>
    <w:p>
      <w:pPr>
        <w:widowControl/>
        <w:spacing w:line="540" w:lineRule="exact"/>
        <w:ind w:firstLine="640" w:firstLineChars="200"/>
        <w:jc w:val="lef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法定时限：30个工作日；承诺时限：15个工作日。</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七、</w:t>
      </w:r>
      <w:r>
        <w:rPr>
          <w:rFonts w:hint="eastAsia" w:ascii="方正黑体_GBK" w:hAnsi="方正黑体_GBK" w:eastAsia="方正黑体_GBK" w:cs="方正黑体_GBK"/>
          <w:kern w:val="0"/>
          <w:sz w:val="32"/>
          <w:szCs w:val="32"/>
        </w:rPr>
        <w:t>监管措施</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kern w:val="0"/>
          <w:sz w:val="32"/>
          <w:szCs w:val="32"/>
          <w:lang w:val="en-US" w:eastAsia="zh-CN"/>
        </w:rPr>
        <w:t>.</w:t>
      </w:r>
      <w:r>
        <w:rPr>
          <w:rFonts w:hint="eastAsia" w:ascii="方正仿宋_GBK" w:hAnsi="方正仿宋_GBK" w:eastAsia="方正仿宋_GBK" w:cs="方正仿宋_GBK"/>
          <w:kern w:val="0"/>
          <w:sz w:val="32"/>
          <w:szCs w:val="32"/>
        </w:rPr>
        <w:t>落实“四个最严”要求，制定年度监管计划，突出监管重点，强化风险控制。</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w:t>
      </w:r>
      <w:r>
        <w:rPr>
          <w:rFonts w:hint="eastAsia" w:ascii="方正仿宋_GBK" w:hAnsi="方正仿宋_GBK" w:eastAsia="方正仿宋_GBK" w:cs="方正仿宋_GBK"/>
          <w:kern w:val="0"/>
          <w:sz w:val="32"/>
          <w:szCs w:val="32"/>
          <w:lang w:val="en-US" w:eastAsia="zh-CN"/>
        </w:rPr>
        <w:t>.</w:t>
      </w:r>
      <w:r>
        <w:rPr>
          <w:rFonts w:hint="eastAsia" w:ascii="方正仿宋_GBK" w:hAnsi="方正仿宋_GBK" w:eastAsia="方正仿宋_GBK" w:cs="方正仿宋_GBK"/>
          <w:kern w:val="0"/>
          <w:sz w:val="32"/>
          <w:szCs w:val="32"/>
        </w:rPr>
        <w:t>通过日常监管、专项检查等督促企业不断完善、改进质量管理体系，持续合法合规经营。</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w:t>
      </w:r>
      <w:r>
        <w:rPr>
          <w:rFonts w:hint="eastAsia" w:ascii="方正仿宋_GBK" w:hAnsi="方正仿宋_GBK" w:eastAsia="方正仿宋_GBK" w:cs="方正仿宋_GBK"/>
          <w:kern w:val="0"/>
          <w:sz w:val="32"/>
          <w:szCs w:val="32"/>
          <w:lang w:val="en-US" w:eastAsia="zh-CN"/>
        </w:rPr>
        <w:t>.</w:t>
      </w:r>
      <w:r>
        <w:rPr>
          <w:rFonts w:hint="eastAsia" w:ascii="方正仿宋_GBK" w:hAnsi="方正仿宋_GBK" w:eastAsia="方正仿宋_GBK" w:cs="方正仿宋_GBK"/>
          <w:kern w:val="0"/>
          <w:sz w:val="32"/>
          <w:szCs w:val="32"/>
        </w:rPr>
        <w:t>对违法违规行为，依法严厉查处并公开曝光。</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4.及时向社会公开许可信息，加强社会监督。</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5.加强抽检监测。对监督抽检中发现的不符合规定产品和违法违规行为，依法进行查处。</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6.畅通投诉举报渠道，发挥12315投诉举报职能，强化社会监督，落实药品安全社会共治。</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7.加强信用监管，依法依规对失信主体开展失信惩戒。</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八、</w:t>
      </w:r>
      <w:r>
        <w:rPr>
          <w:rFonts w:hint="eastAsia" w:ascii="方正黑体_GBK" w:hAnsi="方正黑体_GBK" w:eastAsia="方正黑体_GBK" w:cs="方正黑体_GBK"/>
          <w:kern w:val="0"/>
          <w:sz w:val="32"/>
          <w:szCs w:val="32"/>
        </w:rPr>
        <w:t>其他事项</w:t>
      </w:r>
    </w:p>
    <w:p>
      <w:pPr>
        <w:adjustRightInd w:val="0"/>
        <w:snapToGrid w:val="0"/>
        <w:spacing w:line="540"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药品经营许可证的换发按照</w:t>
      </w:r>
      <w:r>
        <w:rPr>
          <w:rFonts w:hint="eastAsia" w:ascii="方正仿宋_GBK" w:hAnsi="方正仿宋_GBK" w:eastAsia="方正仿宋_GBK" w:cs="方正仿宋_GBK"/>
          <w:sz w:val="32"/>
          <w:szCs w:val="32"/>
        </w:rPr>
        <w:t>《中华人民共和国药品管理法实施条例》第十七条第一款，《药品经营许可证管理办法》</w:t>
      </w:r>
      <w:r>
        <w:rPr>
          <w:rFonts w:hint="eastAsia" w:ascii="方正仿宋_GBK" w:hAnsi="方正仿宋_GBK" w:eastAsia="方正仿宋_GBK" w:cs="方正仿宋_GBK"/>
          <w:kern w:val="0"/>
          <w:sz w:val="32"/>
          <w:szCs w:val="32"/>
        </w:rPr>
        <w:t>第十九条第一款执行。</w:t>
      </w:r>
    </w:p>
    <w:sectPr>
      <w:pgSz w:w="11906" w:h="16838"/>
      <w:pgMar w:top="1417" w:right="1417" w:bottom="1417" w:left="141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517E76BA"/>
    <w:rsid w:val="03845ABC"/>
    <w:rsid w:val="088A2850"/>
    <w:rsid w:val="12847A6D"/>
    <w:rsid w:val="185A1DA9"/>
    <w:rsid w:val="198349D1"/>
    <w:rsid w:val="1AC16D95"/>
    <w:rsid w:val="1DC16278"/>
    <w:rsid w:val="26E9269E"/>
    <w:rsid w:val="2B6656BC"/>
    <w:rsid w:val="2C1B752A"/>
    <w:rsid w:val="2F472E04"/>
    <w:rsid w:val="3E6047C5"/>
    <w:rsid w:val="42AC7D25"/>
    <w:rsid w:val="44E6660D"/>
    <w:rsid w:val="48D05305"/>
    <w:rsid w:val="49C51095"/>
    <w:rsid w:val="4C7F34F1"/>
    <w:rsid w:val="517E76BA"/>
    <w:rsid w:val="5A0E166F"/>
    <w:rsid w:val="5B9E10C3"/>
    <w:rsid w:val="60954528"/>
    <w:rsid w:val="641702AB"/>
    <w:rsid w:val="77E90D2B"/>
    <w:rsid w:val="79674CF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2021-08-06T01:10:00Z</dcterms:created>
  <dc:creator>廖磊</dc:creator>
  <cp:lastModifiedBy>芒果麻麻</cp:lastModifiedBy>
  <dcterms:modified xsi:type="dcterms:W3CDTF">2021-08-24T03:06:41Z</dcterms:modified>
  <dc:title>药品批发企业许可具体管理措施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23B07FC8F69040699B4B5A3C36577279</vt:lpwstr>
  </property>
</Properties>
</file>