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540" w:lineRule="exact"/>
        <w:jc w:val="left"/>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附件10</w:t>
      </w:r>
    </w:p>
    <w:p>
      <w:pPr>
        <w:numPr>
          <w:numId w:val="0"/>
        </w:numPr>
        <w:wordWrap/>
        <w:jc w:val="left"/>
        <w:rPr>
          <w:rFonts w:hint="eastAsia" w:ascii="方正仿宋_GBK" w:hAnsi="方正仿宋_GBK" w:cs="方正仿宋_GBK"/>
          <w:color w:val="0000FF"/>
          <w:spacing w:val="-4"/>
          <w:sz w:val="32"/>
          <w:szCs w:val="32"/>
          <w:highlight w:val="none"/>
          <w:lang w:val="en-US" w:eastAsia="zh-CN"/>
        </w:rPr>
      </w:pPr>
    </w:p>
    <w:p>
      <w:pPr>
        <w:widowControl w:val="0"/>
        <w:numPr>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医疗机构配制制剂许可具体管理措施</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行政审批处、药品生产监督管理处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二、改革内容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kern w:val="0"/>
          <w:sz w:val="32"/>
          <w:szCs w:val="32"/>
        </w:rPr>
        <w:t>，对“医疗机构配制制剂许可”</w:t>
      </w:r>
      <w:r>
        <w:rPr>
          <w:rFonts w:hint="eastAsia" w:ascii="方正仿宋_GBK" w:hAnsi="方正仿宋_GBK" w:eastAsia="方正仿宋_GBK" w:cs="方正仿宋_GBK"/>
          <w:kern w:val="0"/>
          <w:sz w:val="32"/>
          <w:szCs w:val="32"/>
          <w:lang w:eastAsia="zh-CN"/>
        </w:rPr>
        <w:t>实行</w:t>
      </w:r>
      <w:r>
        <w:rPr>
          <w:rFonts w:hint="eastAsia" w:ascii="方正仿宋_GBK" w:hAnsi="方正仿宋_GBK" w:eastAsia="方正仿宋_GBK" w:cs="方正仿宋_GBK"/>
          <w:kern w:val="0"/>
          <w:sz w:val="32"/>
          <w:szCs w:val="32"/>
        </w:rPr>
        <w:t>优化审批服务，将审批时限由30个工作日压减至25个工作日。</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三、法律依据</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《医疗机构制剂配制监督管理办法（</w:t>
      </w:r>
      <w:bookmarkStart w:id="0" w:name="_GoBack"/>
      <w:bookmarkEnd w:id="0"/>
      <w:r>
        <w:rPr>
          <w:rFonts w:hint="eastAsia" w:ascii="方正仿宋_GBK" w:hAnsi="方正仿宋_GBK" w:eastAsia="方正仿宋_GBK" w:cs="方正仿宋_GBK"/>
          <w:kern w:val="0"/>
          <w:sz w:val="32"/>
          <w:szCs w:val="32"/>
        </w:rPr>
        <w:t>试行）》</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四、许可条件</w:t>
      </w:r>
    </w:p>
    <w:p>
      <w:pPr>
        <w:widowControl/>
        <w:spacing w:line="54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医疗机构配制制剂，必须具有能够保证制剂质量的人员、设施、检验仪器、卫生条件和管理制度。</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五、材料要求</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1.《医疗机构制剂许可证申请表》</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2.</w:t>
      </w:r>
      <w:r>
        <w:rPr>
          <w:rFonts w:hint="eastAsia" w:ascii="方正仿宋_GBK" w:hAnsi="方正仿宋_GBK" w:eastAsia="方正仿宋_GBK" w:cs="方正仿宋_GBK"/>
          <w:kern w:val="0"/>
          <w:sz w:val="32"/>
          <w:szCs w:val="32"/>
        </w:rPr>
        <w:t>实施《医疗机构制剂配制质量管理规范》自查报告</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3</w:t>
      </w:r>
      <w:r>
        <w:rPr>
          <w:rFonts w:hint="eastAsia" w:ascii="方正仿宋_GBK" w:hAnsi="方正仿宋_GBK" w:eastAsia="方正仿宋_GBK" w:cs="方正仿宋_GBK"/>
          <w:kern w:val="0"/>
          <w:sz w:val="32"/>
          <w:szCs w:val="32"/>
        </w:rPr>
        <w:t>.医疗机构的基本情况</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4</w:t>
      </w:r>
      <w:r>
        <w:rPr>
          <w:rFonts w:hint="eastAsia" w:ascii="方正仿宋_GBK" w:hAnsi="方正仿宋_GBK" w:eastAsia="方正仿宋_GBK" w:cs="方正仿宋_GBK"/>
          <w:kern w:val="0"/>
          <w:sz w:val="32"/>
          <w:szCs w:val="32"/>
        </w:rPr>
        <w:t>.《医疗机构执业许可证》副本复印件</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5</w:t>
      </w:r>
      <w:r>
        <w:rPr>
          <w:rFonts w:hint="eastAsia" w:ascii="方正仿宋_GBK" w:hAnsi="方正仿宋_GBK" w:eastAsia="方正仿宋_GBK" w:cs="方正仿宋_GBK"/>
          <w:kern w:val="0"/>
          <w:sz w:val="32"/>
          <w:szCs w:val="32"/>
        </w:rPr>
        <w:t>.制剂室的基本情况（包括制剂室的投资规模、占地面积、周围环境、基础设施等条件说明）</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6</w:t>
      </w:r>
      <w:r>
        <w:rPr>
          <w:rFonts w:hint="eastAsia" w:ascii="方正仿宋_GBK" w:hAnsi="方正仿宋_GBK" w:eastAsia="方正仿宋_GBK" w:cs="方正仿宋_GBK"/>
          <w:kern w:val="0"/>
          <w:sz w:val="32"/>
          <w:szCs w:val="32"/>
        </w:rPr>
        <w:t>.总平面布局图</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7</w:t>
      </w:r>
      <w:r>
        <w:rPr>
          <w:rFonts w:hint="eastAsia" w:ascii="方正仿宋_GBK" w:hAnsi="方正仿宋_GBK" w:eastAsia="方正仿宋_GBK" w:cs="方正仿宋_GBK"/>
          <w:kern w:val="0"/>
          <w:sz w:val="32"/>
          <w:szCs w:val="32"/>
        </w:rPr>
        <w:t>.制剂室总平面布置图（标出洁净级别）</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val="en-US" w:eastAsia="zh-CN"/>
        </w:rPr>
        <w:t>8.</w:t>
      </w:r>
      <w:r>
        <w:rPr>
          <w:rFonts w:hint="eastAsia" w:ascii="方正仿宋_GBK" w:hAnsi="方正仿宋_GBK" w:eastAsia="方正仿宋_GBK" w:cs="方正仿宋_GBK"/>
          <w:kern w:val="0"/>
          <w:sz w:val="32"/>
          <w:szCs w:val="32"/>
        </w:rPr>
        <w:t>制剂工艺设备平面布置图</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9</w:t>
      </w:r>
      <w:r>
        <w:rPr>
          <w:rFonts w:hint="eastAsia" w:ascii="方正仿宋_GBK" w:hAnsi="方正仿宋_GBK" w:eastAsia="方正仿宋_GBK" w:cs="方正仿宋_GBK"/>
          <w:kern w:val="0"/>
          <w:sz w:val="32"/>
          <w:szCs w:val="32"/>
        </w:rPr>
        <w:t>.空气净化送风回风图</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10</w:t>
      </w:r>
      <w:r>
        <w:rPr>
          <w:rFonts w:hint="eastAsia" w:ascii="方正仿宋_GBK" w:hAnsi="方正仿宋_GBK" w:eastAsia="方正仿宋_GBK" w:cs="方正仿宋_GBK"/>
          <w:kern w:val="0"/>
          <w:sz w:val="32"/>
          <w:szCs w:val="32"/>
        </w:rPr>
        <w:t>.口服固体制剂车间的除尘系统图</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11</w:t>
      </w:r>
      <w:r>
        <w:rPr>
          <w:rFonts w:hint="eastAsia" w:ascii="方正仿宋_GBK" w:hAnsi="方正仿宋_GBK" w:eastAsia="方正仿宋_GBK" w:cs="方正仿宋_GBK"/>
          <w:kern w:val="0"/>
          <w:sz w:val="32"/>
          <w:szCs w:val="32"/>
        </w:rPr>
        <w:t>.制剂室负责人简历</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12</w:t>
      </w:r>
      <w:r>
        <w:rPr>
          <w:rFonts w:hint="eastAsia" w:ascii="方正仿宋_GBK" w:hAnsi="方正仿宋_GBK" w:eastAsia="方正仿宋_GBK" w:cs="方正仿宋_GBK"/>
          <w:kern w:val="0"/>
          <w:sz w:val="32"/>
          <w:szCs w:val="32"/>
        </w:rPr>
        <w:t>.药检室负责人简历</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13</w:t>
      </w:r>
      <w:r>
        <w:rPr>
          <w:rFonts w:hint="eastAsia" w:ascii="方正仿宋_GBK" w:hAnsi="方正仿宋_GBK" w:eastAsia="方正仿宋_GBK" w:cs="方正仿宋_GBK"/>
          <w:kern w:val="0"/>
          <w:sz w:val="32"/>
          <w:szCs w:val="32"/>
        </w:rPr>
        <w:t>.制剂质量管理组织负责人简历</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14</w:t>
      </w:r>
      <w:r>
        <w:rPr>
          <w:rFonts w:hint="eastAsia" w:ascii="方正仿宋_GBK" w:hAnsi="方正仿宋_GBK" w:eastAsia="方正仿宋_GBK" w:cs="方正仿宋_GBK"/>
          <w:kern w:val="0"/>
          <w:sz w:val="32"/>
          <w:szCs w:val="32"/>
        </w:rPr>
        <w:t>.专业技术人员占制剂室工作人员的比例</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15.</w:t>
      </w:r>
      <w:r>
        <w:rPr>
          <w:rFonts w:hint="eastAsia" w:ascii="方正仿宋_GBK" w:hAnsi="方正仿宋_GBK" w:eastAsia="方正仿宋_GBK" w:cs="方正仿宋_GBK"/>
          <w:kern w:val="0"/>
          <w:sz w:val="32"/>
          <w:szCs w:val="32"/>
        </w:rPr>
        <w:t>拟配制剂型、配制能力、品种、规格</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kern w:val="0"/>
          <w:sz w:val="32"/>
          <w:szCs w:val="32"/>
          <w:lang w:val="en-US" w:eastAsia="zh-CN"/>
        </w:rPr>
        <w:t>6</w:t>
      </w:r>
      <w:r>
        <w:rPr>
          <w:rFonts w:hint="eastAsia" w:ascii="方正仿宋_GBK" w:hAnsi="方正仿宋_GBK" w:eastAsia="方正仿宋_GBK" w:cs="方正仿宋_GBK"/>
          <w:kern w:val="0"/>
          <w:sz w:val="32"/>
          <w:szCs w:val="32"/>
        </w:rPr>
        <w:t>.配制剂型的工艺流程图</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17</w:t>
      </w:r>
      <w:r>
        <w:rPr>
          <w:rFonts w:hint="eastAsia" w:ascii="方正仿宋_GBK" w:hAnsi="方正仿宋_GBK" w:eastAsia="方正仿宋_GBK" w:cs="方正仿宋_GBK"/>
          <w:kern w:val="0"/>
          <w:sz w:val="32"/>
          <w:szCs w:val="32"/>
        </w:rPr>
        <w:t>.质量标准（或草案）</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kern w:val="0"/>
          <w:sz w:val="32"/>
          <w:szCs w:val="32"/>
          <w:lang w:val="en-US" w:eastAsia="zh-CN"/>
        </w:rPr>
        <w:t>8</w:t>
      </w:r>
      <w:r>
        <w:rPr>
          <w:rFonts w:hint="eastAsia" w:ascii="方正仿宋_GBK" w:hAnsi="方正仿宋_GBK" w:eastAsia="方正仿宋_GBK" w:cs="方正仿宋_GBK"/>
          <w:kern w:val="0"/>
          <w:sz w:val="32"/>
          <w:szCs w:val="32"/>
        </w:rPr>
        <w:t>.主要配制设备仪器目录（目录中应包含设备名称、设备编号、规格型号、主要用途、购进时间、启用时间等基本信息）</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19</w:t>
      </w:r>
      <w:r>
        <w:rPr>
          <w:rFonts w:hint="eastAsia" w:ascii="方正仿宋_GBK" w:hAnsi="方正仿宋_GBK" w:eastAsia="方正仿宋_GBK" w:cs="方正仿宋_GBK"/>
          <w:kern w:val="0"/>
          <w:sz w:val="32"/>
          <w:szCs w:val="32"/>
        </w:rPr>
        <w:t>.主要配制检测仪器目录（目录中应包含设备名称、设备编号、规格型号、主要用途、校验校准时间、校验校准有效期等基本信息）</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20</w:t>
      </w:r>
      <w:r>
        <w:rPr>
          <w:rFonts w:hint="eastAsia" w:ascii="方正仿宋_GBK" w:hAnsi="方正仿宋_GBK" w:eastAsia="方正仿宋_GBK" w:cs="方正仿宋_GBK"/>
          <w:kern w:val="0"/>
          <w:sz w:val="32"/>
          <w:szCs w:val="32"/>
        </w:rPr>
        <w:t>.制剂配制管理文件目录（目录中应包含有文件名称、文件编号、发布日期、生效日期等）</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w:t>
      </w:r>
      <w:r>
        <w:rPr>
          <w:rFonts w:hint="eastAsia" w:ascii="方正仿宋_GBK" w:hAnsi="方正仿宋_GBK" w:eastAsia="方正仿宋_GBK" w:cs="方正仿宋_GBK"/>
          <w:kern w:val="0"/>
          <w:sz w:val="32"/>
          <w:szCs w:val="32"/>
          <w:lang w:val="en-US" w:eastAsia="zh-CN"/>
        </w:rPr>
        <w:t>1</w:t>
      </w:r>
      <w:r>
        <w:rPr>
          <w:rFonts w:hint="eastAsia" w:ascii="方正仿宋_GBK" w:hAnsi="方正仿宋_GBK" w:eastAsia="方正仿宋_GBK" w:cs="方正仿宋_GBK"/>
          <w:kern w:val="0"/>
          <w:sz w:val="32"/>
          <w:szCs w:val="32"/>
        </w:rPr>
        <w:t>.制剂质量管理文件目录（目录中应包含有文件名称、文件编号、发布日期、生效日期等）</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22.</w:t>
      </w:r>
      <w:r>
        <w:rPr>
          <w:rFonts w:hint="eastAsia" w:ascii="方正仿宋_GBK" w:hAnsi="方正仿宋_GBK" w:eastAsia="方正仿宋_GBK" w:cs="方正仿宋_GBK"/>
          <w:kern w:val="0"/>
          <w:sz w:val="32"/>
          <w:szCs w:val="32"/>
        </w:rPr>
        <w:t>授权委托书</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23.</w:t>
      </w:r>
      <w:r>
        <w:rPr>
          <w:rFonts w:hint="eastAsia" w:ascii="方正仿宋_GBK" w:hAnsi="方正仿宋_GBK" w:eastAsia="方正仿宋_GBK" w:cs="方正仿宋_GBK"/>
          <w:kern w:val="0"/>
          <w:sz w:val="32"/>
          <w:szCs w:val="32"/>
        </w:rPr>
        <w:t>真实性承诺</w:t>
      </w:r>
      <w:r>
        <w:rPr>
          <w:rFonts w:hint="eastAsia" w:ascii="方正仿宋_GBK" w:hAnsi="方正仿宋_GBK" w:eastAsia="方正仿宋_GBK" w:cs="方正仿宋_GBK"/>
          <w:kern w:val="0"/>
          <w:sz w:val="32"/>
          <w:szCs w:val="32"/>
          <w:lang w:eastAsia="zh-CN"/>
        </w:rPr>
        <w:t>。</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六、程序环节</w:t>
      </w:r>
    </w:p>
    <w:p>
      <w:pPr>
        <w:widowControl/>
        <w:spacing w:line="594" w:lineRule="exac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FF0000"/>
          <w:kern w:val="0"/>
          <w:sz w:val="32"/>
          <w:szCs w:val="32"/>
          <w:lang w:val="en-US" w:eastAsia="zh-CN"/>
        </w:rPr>
        <w:t xml:space="preserve">   </w:t>
      </w:r>
      <w:r>
        <w:rPr>
          <w:rFonts w:hint="eastAsia" w:ascii="方正仿宋_GBK" w:hAnsi="方正仿宋_GBK" w:eastAsia="方正仿宋_GBK" w:cs="方正仿宋_GBK"/>
          <w:color w:val="auto"/>
          <w:kern w:val="0"/>
          <w:sz w:val="32"/>
          <w:szCs w:val="32"/>
          <w:highlight w:val="none"/>
          <w:lang w:val="en-US" w:eastAsia="zh-CN"/>
        </w:rPr>
        <w:t xml:space="preserve"> </w:t>
      </w:r>
      <w:r>
        <w:rPr>
          <w:rFonts w:hint="eastAsia" w:ascii="方正楷体_GBK" w:hAnsi="方正楷体_GBK" w:eastAsia="方正楷体_GBK" w:cs="方正楷体_GBK"/>
          <w:color w:val="auto"/>
          <w:kern w:val="0"/>
          <w:sz w:val="32"/>
          <w:szCs w:val="32"/>
          <w:highlight w:val="none"/>
        </w:rPr>
        <w:t>（一）审批层级</w:t>
      </w:r>
    </w:p>
    <w:p>
      <w:pPr>
        <w:widowControl/>
        <w:spacing w:line="594"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 xml:space="preserve">1.受理机构: </w:t>
      </w:r>
      <w:r>
        <w:rPr>
          <w:rFonts w:hint="eastAsia" w:ascii="方正仿宋_GBK" w:hAnsi="方正仿宋_GBK" w:eastAsia="方正仿宋_GBK" w:cs="方正仿宋_GBK"/>
          <w:color w:val="auto"/>
          <w:kern w:val="0"/>
          <w:sz w:val="32"/>
          <w:szCs w:val="32"/>
          <w:highlight w:val="none"/>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 xml:space="preserve">2.决定机构: </w:t>
      </w:r>
      <w:r>
        <w:rPr>
          <w:rFonts w:hint="eastAsia" w:ascii="方正仿宋_GBK" w:hAnsi="方正仿宋_GBK" w:eastAsia="方正仿宋_GBK" w:cs="方正仿宋_GBK"/>
          <w:color w:val="auto"/>
          <w:kern w:val="0"/>
          <w:sz w:val="32"/>
          <w:szCs w:val="32"/>
          <w:highlight w:val="none"/>
          <w:lang w:eastAsia="zh-CN"/>
        </w:rPr>
        <w:t>重庆市药品监督管理局</w:t>
      </w:r>
    </w:p>
    <w:p>
      <w:pPr>
        <w:widowControl/>
        <w:spacing w:line="594" w:lineRule="exact"/>
        <w:rPr>
          <w:rFonts w:hint="eastAsia" w:ascii="方正楷体_GBK" w:hAnsi="方正楷体_GBK" w:eastAsia="方正楷体_GBK" w:cs="方正楷体_GBK"/>
          <w:color w:val="auto"/>
          <w:kern w:val="0"/>
          <w:sz w:val="32"/>
          <w:szCs w:val="32"/>
          <w:highlight w:val="none"/>
          <w:lang w:eastAsia="zh-CN"/>
        </w:rPr>
      </w:pPr>
      <w:r>
        <w:rPr>
          <w:rFonts w:hint="eastAsia" w:ascii="方正楷体_GBK" w:hAnsi="方正楷体_GBK" w:eastAsia="方正楷体_GBK" w:cs="方正楷体_GBK"/>
          <w:color w:val="auto"/>
          <w:kern w:val="0"/>
          <w:sz w:val="32"/>
          <w:szCs w:val="32"/>
          <w:highlight w:val="none"/>
          <w:lang w:val="en-US" w:eastAsia="zh-CN"/>
        </w:rPr>
        <w:t xml:space="preserve">    </w:t>
      </w:r>
      <w:r>
        <w:rPr>
          <w:rFonts w:hint="eastAsia" w:ascii="方正楷体_GBK" w:hAnsi="方正楷体_GBK" w:eastAsia="方正楷体_GBK" w:cs="方正楷体_GBK"/>
          <w:color w:val="auto"/>
          <w:kern w:val="0"/>
          <w:sz w:val="32"/>
          <w:szCs w:val="32"/>
          <w:highlight w:val="none"/>
        </w:rPr>
        <w:t>（二）办理流程</w:t>
      </w:r>
      <w:r>
        <w:rPr>
          <w:rFonts w:hint="eastAsia" w:ascii="方正楷体_GBK" w:hAnsi="方正楷体_GBK" w:eastAsia="方正楷体_GBK" w:cs="方正楷体_GBK"/>
          <w:color w:val="auto"/>
          <w:kern w:val="0"/>
          <w:sz w:val="32"/>
          <w:szCs w:val="32"/>
          <w:highlight w:val="none"/>
          <w:lang w:eastAsia="zh-CN"/>
        </w:rPr>
        <w:t>。</w:t>
      </w:r>
    </w:p>
    <w:p>
      <w:pPr>
        <w:widowControl/>
        <w:spacing w:line="540" w:lineRule="exact"/>
        <w:jc w:val="left"/>
        <w:rPr>
          <w:rFonts w:hint="eastAsia" w:ascii="方正仿宋_GBK" w:hAnsi="方正仿宋_GBK" w:eastAsia="方正仿宋_GBK" w:cs="方正仿宋_GBK"/>
          <w:color w:val="auto"/>
          <w:kern w:val="0"/>
          <w:sz w:val="32"/>
          <w:szCs w:val="32"/>
          <w:highlight w:val="none"/>
        </w:rPr>
      </w:pPr>
      <w:r>
        <w:rPr>
          <w:rFonts w:hint="eastAsia" w:ascii="Times New Roman" w:hAnsi="Times New Roman" w:eastAsia="仿宋_GB2312"/>
          <w:color w:val="auto"/>
          <w:kern w:val="0"/>
          <w:sz w:val="32"/>
          <w:szCs w:val="32"/>
          <w:highlight w:val="none"/>
          <w:lang w:val="en-US" w:eastAsia="zh-CN"/>
        </w:rPr>
        <w:t xml:space="preserve">     </w:t>
      </w:r>
      <w:r>
        <w:rPr>
          <w:rFonts w:hint="eastAsia" w:ascii="方正仿宋_GBK" w:hAnsi="方正仿宋_GBK" w:eastAsia="方正仿宋_GBK" w:cs="方正仿宋_GBK"/>
          <w:color w:val="auto"/>
          <w:kern w:val="0"/>
          <w:sz w:val="32"/>
          <w:szCs w:val="32"/>
          <w:highlight w:val="none"/>
        </w:rPr>
        <w:t>医疗机构设立制剂室，应当向</w:t>
      </w:r>
      <w:r>
        <w:rPr>
          <w:rFonts w:hint="eastAsia" w:ascii="方正仿宋_GBK" w:hAnsi="方正仿宋_GBK" w:eastAsia="方正仿宋_GBK" w:cs="方正仿宋_GBK"/>
          <w:color w:val="auto"/>
          <w:kern w:val="0"/>
          <w:sz w:val="32"/>
          <w:szCs w:val="32"/>
          <w:highlight w:val="none"/>
          <w:lang w:eastAsia="zh-CN"/>
        </w:rPr>
        <w:t>重庆市药品监督管理局</w:t>
      </w:r>
      <w:r>
        <w:rPr>
          <w:rFonts w:hint="eastAsia" w:ascii="方正仿宋_GBK" w:hAnsi="方正仿宋_GBK" w:eastAsia="方正仿宋_GBK" w:cs="方正仿宋_GBK"/>
          <w:color w:val="auto"/>
          <w:kern w:val="0"/>
          <w:sz w:val="32"/>
          <w:szCs w:val="32"/>
          <w:highlight w:val="none"/>
        </w:rPr>
        <w:t>提交上述材料。</w:t>
      </w:r>
      <w:r>
        <w:rPr>
          <w:rFonts w:hint="eastAsia" w:ascii="方正仿宋_GBK" w:hAnsi="方正仿宋_GBK" w:eastAsia="方正仿宋_GBK" w:cs="方正仿宋_GBK"/>
          <w:color w:val="auto"/>
          <w:kern w:val="0"/>
          <w:sz w:val="32"/>
          <w:szCs w:val="32"/>
          <w:highlight w:val="none"/>
          <w:lang w:eastAsia="zh-CN"/>
        </w:rPr>
        <w:t>市局</w:t>
      </w:r>
      <w:r>
        <w:rPr>
          <w:rFonts w:hint="eastAsia" w:ascii="方正仿宋_GBK" w:hAnsi="方正仿宋_GBK" w:eastAsia="方正仿宋_GBK" w:cs="方正仿宋_GBK"/>
          <w:color w:val="auto"/>
          <w:kern w:val="0"/>
          <w:sz w:val="32"/>
          <w:szCs w:val="32"/>
          <w:highlight w:val="none"/>
        </w:rPr>
        <w:t>应当自收到申请之日起</w:t>
      </w:r>
      <w:r>
        <w:rPr>
          <w:rFonts w:hint="eastAsia" w:ascii="方正仿宋_GBK" w:hAnsi="方正仿宋_GBK" w:eastAsia="方正仿宋_GBK" w:cs="方正仿宋_GBK"/>
          <w:color w:val="auto"/>
          <w:kern w:val="0"/>
          <w:sz w:val="32"/>
          <w:szCs w:val="32"/>
          <w:highlight w:val="none"/>
          <w:lang w:val="en-US" w:eastAsia="zh-CN"/>
        </w:rPr>
        <w:t>25</w:t>
      </w:r>
      <w:r>
        <w:rPr>
          <w:rFonts w:hint="eastAsia" w:ascii="方正仿宋_GBK" w:hAnsi="方正仿宋_GBK" w:eastAsia="方正仿宋_GBK" w:cs="方正仿宋_GBK"/>
          <w:color w:val="auto"/>
          <w:kern w:val="0"/>
          <w:sz w:val="32"/>
          <w:szCs w:val="32"/>
          <w:highlight w:val="none"/>
        </w:rPr>
        <w:t>个工作日内，按照国家药品监督管理局制定的《医疗机构制剂许可证验收标准》组织验收。验收合格的，予以批准，并自批准决定作出之日起10个工作日内向申请人核发《医疗机构制剂许可证》；验收不合格的，作出不予批准的决定，书面通知申请人并说明理由，同时告知申请人享有依法申请行政复议或者提起行政诉讼的权利。</w:t>
      </w:r>
      <w:r>
        <w:rPr>
          <w:rFonts w:hint="eastAsia" w:ascii="方正仿宋_GBK" w:hAnsi="方正仿宋_GBK" w:eastAsia="方正仿宋_GBK" w:cs="方正仿宋_GBK"/>
          <w:color w:val="auto"/>
          <w:kern w:val="0"/>
          <w:sz w:val="32"/>
          <w:szCs w:val="32"/>
          <w:highlight w:val="none"/>
        </w:rPr>
        <w:br/>
      </w:r>
      <w:r>
        <w:rPr>
          <w:rFonts w:hint="eastAsia" w:ascii="方正仿宋_GBK" w:hAnsi="方正仿宋_GBK" w:eastAsia="方正仿宋_GBK" w:cs="方正仿宋_GBK"/>
          <w:color w:val="auto"/>
          <w:kern w:val="0"/>
          <w:sz w:val="32"/>
          <w:szCs w:val="32"/>
          <w:highlight w:val="none"/>
        </w:rPr>
        <w:t>　　</w:t>
      </w:r>
      <w:r>
        <w:rPr>
          <w:rFonts w:hint="eastAsia" w:ascii="方正仿宋_GBK" w:hAnsi="方正仿宋_GBK" w:eastAsia="方正仿宋_GBK" w:cs="方正仿宋_GBK"/>
          <w:color w:val="auto"/>
          <w:kern w:val="0"/>
          <w:sz w:val="32"/>
          <w:szCs w:val="32"/>
          <w:highlight w:val="none"/>
          <w:lang w:eastAsia="zh-CN"/>
        </w:rPr>
        <w:t>市局</w:t>
      </w:r>
      <w:r>
        <w:rPr>
          <w:rFonts w:hint="eastAsia" w:ascii="方正仿宋_GBK" w:hAnsi="方正仿宋_GBK" w:eastAsia="方正仿宋_GBK" w:cs="方正仿宋_GBK"/>
          <w:color w:val="auto"/>
          <w:kern w:val="0"/>
          <w:sz w:val="32"/>
          <w:szCs w:val="32"/>
          <w:highlight w:val="none"/>
        </w:rPr>
        <w:t>验收合格后，应当自颁发《医疗机构制剂许可证》之日起20个工作日内，将有关情况报国家药品监督管理局备案。</w:t>
      </w:r>
    </w:p>
    <w:p>
      <w:pPr>
        <w:widowControl/>
        <w:numPr>
          <w:numId w:val="0"/>
        </w:numPr>
        <w:spacing w:line="594" w:lineRule="exact"/>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kern w:val="0"/>
          <w:sz w:val="32"/>
          <w:szCs w:val="32"/>
          <w:highlight w:val="none"/>
          <w:lang w:val="en-US" w:eastAsia="zh-CN"/>
        </w:rPr>
        <w:t xml:space="preserve">   </w:t>
      </w:r>
      <w:r>
        <w:rPr>
          <w:rFonts w:hint="eastAsia" w:ascii="方正楷体_GBK" w:hAnsi="方正楷体_GBK" w:eastAsia="方正楷体_GBK" w:cs="方正楷体_GBK"/>
          <w:color w:val="auto"/>
          <w:kern w:val="0"/>
          <w:sz w:val="32"/>
          <w:szCs w:val="32"/>
          <w:highlight w:val="none"/>
          <w:lang w:val="en-US" w:eastAsia="zh-CN"/>
        </w:rPr>
        <w:t xml:space="preserve"> （三）审批时限。</w:t>
      </w:r>
    </w:p>
    <w:p>
      <w:pPr>
        <w:widowControl/>
        <w:spacing w:line="540" w:lineRule="exact"/>
        <w:jc w:val="left"/>
        <w:rPr>
          <w:rFonts w:hint="eastAsia" w:ascii="方正仿宋_GBK" w:hAnsi="方正仿宋_GBK" w:eastAsia="方正仿宋_GBK" w:cs="方正仿宋_GBK"/>
          <w:color w:val="auto"/>
          <w:kern w:val="0"/>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 xml:space="preserve">    法定时限：30个工作日；承诺时限：15个工作日。</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七、监管措施</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1.落实“四个最严”要求，督促医疗机构制剂室严格按照医疗机构制剂法律法规规章和标准规范组织生产，确保制剂安全、有效和质量可控。</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2.加强日常监管，每年全覆盖检查获得医疗机构配置制剂许可证的制剂室，重点关注生产合规情况。</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3.全覆盖抽检制剂室在产品种，日常监管中根据需要可随时抽检。</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4.关注医疗机构制剂投诉举报、不良反应监测、新闻舆情等信息，提前介入防控风险。</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5.加强执法震慑，依法公开检查结果和案件查处信息。</w:t>
      </w:r>
    </w:p>
    <w:p>
      <w:pPr>
        <w:widowControl/>
        <w:spacing w:line="540" w:lineRule="exact"/>
        <w:jc w:val="left"/>
        <w:rPr>
          <w:rFonts w:ascii="Times New Roman" w:hAnsi="Times New Roman" w:eastAsia="仿宋_GB2312"/>
          <w:kern w:val="0"/>
          <w:sz w:val="32"/>
          <w:szCs w:val="32"/>
        </w:rPr>
      </w:pPr>
    </w:p>
    <w:sectPr>
      <w:footerReference r:id="rId4" w:type="default"/>
      <w:pgSz w:w="11906" w:h="16838"/>
      <w:pgMar w:top="1417" w:right="1474" w:bottom="141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PAGE   \* MERGEFORMAT</w:instrText>
    </w:r>
    <w:r>
      <w:fldChar w:fldCharType="separate"/>
    </w:r>
    <w:r>
      <w:rPr>
        <w:lang w:val="zh-CN"/>
      </w:rPr>
      <w:t>32</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270AB"/>
    <w:rsid w:val="0002546F"/>
    <w:rsid w:val="00100882"/>
    <w:rsid w:val="00134554"/>
    <w:rsid w:val="003B59E7"/>
    <w:rsid w:val="003C15EE"/>
    <w:rsid w:val="003F40BC"/>
    <w:rsid w:val="005B6211"/>
    <w:rsid w:val="005F1213"/>
    <w:rsid w:val="005F6F6E"/>
    <w:rsid w:val="0061786F"/>
    <w:rsid w:val="007E426F"/>
    <w:rsid w:val="008B73CD"/>
    <w:rsid w:val="00985F90"/>
    <w:rsid w:val="00A46FA6"/>
    <w:rsid w:val="00A7513F"/>
    <w:rsid w:val="00C270AB"/>
    <w:rsid w:val="00C470F6"/>
    <w:rsid w:val="00C90B7D"/>
    <w:rsid w:val="00D143B5"/>
    <w:rsid w:val="00E214D7"/>
    <w:rsid w:val="00E3037D"/>
    <w:rsid w:val="00EA2AB7"/>
    <w:rsid w:val="00F44409"/>
    <w:rsid w:val="00F6473A"/>
    <w:rsid w:val="00FD1A90"/>
    <w:rsid w:val="03FD01A2"/>
    <w:rsid w:val="0FC53BEC"/>
    <w:rsid w:val="169A0406"/>
    <w:rsid w:val="1A4E35C8"/>
    <w:rsid w:val="1C2D0CAD"/>
    <w:rsid w:val="1D5E79FB"/>
    <w:rsid w:val="22B26CA6"/>
    <w:rsid w:val="23E43CB3"/>
    <w:rsid w:val="240F3678"/>
    <w:rsid w:val="243F32EC"/>
    <w:rsid w:val="2D23171B"/>
    <w:rsid w:val="2D506D67"/>
    <w:rsid w:val="2EAA029D"/>
    <w:rsid w:val="2F244C34"/>
    <w:rsid w:val="2FF6286D"/>
    <w:rsid w:val="319C36A0"/>
    <w:rsid w:val="35C464A5"/>
    <w:rsid w:val="36D83D8B"/>
    <w:rsid w:val="3D934CD3"/>
    <w:rsid w:val="42212F8E"/>
    <w:rsid w:val="45DF9700"/>
    <w:rsid w:val="50303100"/>
    <w:rsid w:val="52830EFA"/>
    <w:rsid w:val="529C0F24"/>
    <w:rsid w:val="55BF7651"/>
    <w:rsid w:val="55F3EFE5"/>
    <w:rsid w:val="56EC1A28"/>
    <w:rsid w:val="58701BA4"/>
    <w:rsid w:val="58D70421"/>
    <w:rsid w:val="5A3E1690"/>
    <w:rsid w:val="5B2D4026"/>
    <w:rsid w:val="62636276"/>
    <w:rsid w:val="63B04D98"/>
    <w:rsid w:val="63BA28CD"/>
    <w:rsid w:val="63C43411"/>
    <w:rsid w:val="66947E0B"/>
    <w:rsid w:val="6715286F"/>
    <w:rsid w:val="68E15360"/>
    <w:rsid w:val="6EB59771"/>
    <w:rsid w:val="6F6C1C3B"/>
    <w:rsid w:val="71E50C28"/>
    <w:rsid w:val="729E789B"/>
    <w:rsid w:val="77A12676"/>
    <w:rsid w:val="77DFC969"/>
    <w:rsid w:val="7D7BA6CB"/>
    <w:rsid w:val="7E576DB6"/>
    <w:rsid w:val="7EC63F72"/>
    <w:rsid w:val="7FAECE31"/>
    <w:rsid w:val="89BF9DDE"/>
    <w:rsid w:val="ADE5932C"/>
    <w:rsid w:val="B96B265F"/>
    <w:rsid w:val="BEFFE9A6"/>
    <w:rsid w:val="BFEF40EB"/>
    <w:rsid w:val="FBB6C10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2">
    <w:name w:val="Body Text Indent 2"/>
    <w:basedOn w:val="1"/>
    <w:qFormat/>
    <w:uiPriority w:val="0"/>
    <w:pPr>
      <w:tabs>
        <w:tab w:val="left" w:pos="720"/>
      </w:tabs>
      <w:adjustRightInd w:val="0"/>
      <w:snapToGrid w:val="0"/>
      <w:spacing w:line="360" w:lineRule="auto"/>
      <w:ind w:firstLine="480"/>
    </w:pPr>
    <w:rPr>
      <w:rFonts w:eastAsia="仿宋_GB2312"/>
      <w:sz w:val="24"/>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0"/>
    <w:pPr>
      <w:tabs>
        <w:tab w:val="left" w:pos="720"/>
      </w:tabs>
      <w:adjustRightInd w:val="0"/>
      <w:snapToGrid w:val="0"/>
      <w:spacing w:line="360" w:lineRule="auto"/>
      <w:ind w:firstLine="540"/>
    </w:pPr>
    <w:rPr>
      <w:rFonts w:eastAsia="仿宋_GB2312"/>
      <w:sz w:val="24"/>
    </w:rPr>
  </w:style>
  <w:style w:type="character" w:styleId="8">
    <w:name w:val="Strong"/>
    <w:basedOn w:val="7"/>
    <w:qFormat/>
    <w:uiPriority w:val="0"/>
    <w:rPr>
      <w:b/>
    </w:rPr>
  </w:style>
  <w:style w:type="paragraph" w:customStyle="1" w:styleId="10">
    <w:name w:val="List Paragraph"/>
    <w:basedOn w:val="1"/>
    <w:qFormat/>
    <w:uiPriority w:val="34"/>
    <w:pPr>
      <w:ind w:firstLine="420" w:firstLineChars="200"/>
    </w:pPr>
  </w:style>
  <w:style w:type="character" w:customStyle="1" w:styleId="11">
    <w:name w:val="页眉 Char"/>
    <w:basedOn w:val="7"/>
    <w:link w:val="5"/>
    <w:qFormat/>
    <w:uiPriority w:val="99"/>
    <w:rPr>
      <w:rFonts w:ascii="Calibri" w:hAnsi="Calibri" w:eastAsia="宋体" w:cs="Times New Roman"/>
      <w:sz w:val="18"/>
      <w:szCs w:val="18"/>
    </w:rPr>
  </w:style>
  <w:style w:type="character" w:customStyle="1" w:styleId="12">
    <w:name w:val="页脚 Char"/>
    <w:basedOn w:val="7"/>
    <w:link w:val="4"/>
    <w:qFormat/>
    <w:uiPriority w:val="99"/>
    <w:rPr>
      <w:rFonts w:ascii="Calibri" w:hAnsi="Calibri" w:eastAsia="宋体" w:cs="Times New Roman"/>
      <w:sz w:val="18"/>
      <w:szCs w:val="18"/>
    </w:rPr>
  </w:style>
  <w:style w:type="character" w:customStyle="1" w:styleId="13">
    <w:name w:val="批注框文本 Char"/>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5699</Words>
  <Characters>32487</Characters>
  <Lines>270</Lines>
  <Paragraphs>76</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2021-06-20T10:51:00Z</dcterms:created>
  <dc:creator>view01</dc:creator>
  <cp:lastModifiedBy>冯未炜</cp:lastModifiedBy>
  <cp:lastPrinted>2021-06-21T08:32:00Z</cp:lastPrinted>
  <dcterms:modified xsi:type="dcterms:W3CDTF">2025-07-02T01:40:46Z</dcterms:modified>
  <dc:title>附件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y fmtid="{D5CDD505-2E9C-101B-9397-08002B2CF9AE}" pid="3" name="ICV">
    <vt:lpwstr>928400B74E0B495BBBDB8E3E94D7DA4E</vt:lpwstr>
  </property>
</Properties>
</file>