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540" w:lineRule="exact"/>
        <w:rPr>
          <w:rFonts w:hint="eastAsia" w:ascii="Times New Roman" w:hAnsi="Times New Roman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kern w:val="0"/>
          <w:sz w:val="32"/>
          <w:szCs w:val="32"/>
          <w:lang w:val="en-US" w:eastAsia="zh-CN"/>
        </w:rPr>
        <w:t>附件1</w:t>
      </w:r>
    </w:p>
    <w:p>
      <w:pPr>
        <w:widowControl/>
        <w:spacing w:line="540" w:lineRule="exact"/>
        <w:ind w:firstLine="640" w:firstLineChars="20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widowControl/>
        <w:spacing w:line="540" w:lineRule="exact"/>
        <w:ind w:firstLine="640" w:firstLineChars="20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药品委托生产审批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具体管理措施</w:t>
      </w:r>
    </w:p>
    <w:p>
      <w:pPr>
        <w:widowControl/>
        <w:spacing w:line="540" w:lineRule="exact"/>
        <w:ind w:firstLine="640" w:firstLineChars="200"/>
        <w:jc w:val="center"/>
        <w:rPr>
          <w:rFonts w:hint="eastAsia" w:ascii="Times New Roman" w:hAnsi="Times New Roman" w:eastAsia="黑体" w:cs="黑体"/>
          <w:kern w:val="0"/>
          <w:sz w:val="32"/>
          <w:szCs w:val="32"/>
          <w:lang w:val="en-US" w:eastAsia="zh-CN"/>
        </w:rPr>
      </w:pP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一、责任处室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药品生产监督管理处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二、改革内容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根据《国务院关于深化“证照分离”改革进一步激发市场主体发展活力的通知》（国发〔2021〕7号）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Times New Roman" w:eastAsia="方正仿宋_GBK"/>
          <w:sz w:val="32"/>
        </w:rPr>
        <w:t>《重庆市人民政府关于印发重庆市深化“证照分离”改革进一步激发市场主体发展活力实施方案的通知》（渝府发〔2021〕16号）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，取消“药品委托生产审批”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Times New Roman" w:eastAsia="方正仿宋_GBK"/>
          <w:sz w:val="32"/>
          <w:lang w:eastAsia="zh-CN"/>
        </w:rPr>
        <w:t>不再核发</w:t>
      </w:r>
      <w:r>
        <w:rPr>
          <w:rFonts w:hint="eastAsia" w:ascii="方正仿宋_GBK" w:hAnsi="Times New Roman" w:eastAsia="方正仿宋_GBK"/>
          <w:sz w:val="32"/>
        </w:rPr>
        <w:t>药品委托生产批件</w:t>
      </w:r>
      <w:r>
        <w:rPr>
          <w:rFonts w:hint="eastAsia" w:ascii="方正仿宋_GBK" w:hAnsi="Times New Roman" w:eastAsia="方正仿宋_GBK"/>
          <w:sz w:val="32"/>
          <w:lang w:eastAsia="zh-CN"/>
        </w:rPr>
        <w:t>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三、监管措施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1.落实“四个最严”要求，督促相关企业落实主体责任，严格按照药品法律法规规章和标准规范组织生产，确保药品安全、有效和质量可控。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2.将相关企业纳入年度检查方案，每年全覆盖检查本地药品生产企业，适时对外省受托企业开展延伸检查，必要时开展飞行检查。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3.加强对委托生产药品的监督抽检，对受托生产的药品，持有人所在省药监部门提出需求的，纳入我市药品市抽，对不合格产品及时采取后处置措施并依法依规立案查处。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4.与委托或受托省药监部门保持联系，畅通信息互换共享渠道，定期共享许可、监管和抽检信息，共同关注委托生产品种的举报投诉、不良反应监测、日常检查结果等风险信息，开展风险研判，尽早介入处置。</w:t>
      </w:r>
    </w:p>
    <w:p>
      <w:pPr>
        <w:widowControl/>
        <w:spacing w:line="540" w:lineRule="exact"/>
        <w:ind w:firstLine="640" w:firstLineChars="200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5.严格行政执法，加强行刑衔接，依法查处相关企业违法违规行为。</w:t>
      </w:r>
    </w:p>
    <w:p>
      <w:pPr>
        <w:widowControl/>
        <w:spacing w:line="540" w:lineRule="exact"/>
        <w:ind w:firstLine="640" w:firstLineChars="200"/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6.按照信息公开相关要求，及时向社会公开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许可信息、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检查结果、案件办理结果，将相对人纳入诚信管理系统，加强社会监督。</w:t>
      </w:r>
    </w:p>
    <w:p>
      <w:pPr>
        <w:widowControl/>
        <w:spacing w:line="540" w:lineRule="exact"/>
        <w:ind w:firstLine="640" w:firstLineChars="200"/>
        <w:rPr>
          <w:rFonts w:hint="eastAsia" w:ascii="Times New Roman" w:hAnsi="Times New Roman" w:eastAsia="仿宋_GB2312"/>
          <w:kern w:val="0"/>
          <w:sz w:val="32"/>
          <w:szCs w:val="32"/>
        </w:rPr>
      </w:pPr>
      <w:bookmarkStart w:id="0" w:name="_GoBack"/>
      <w:bookmarkEnd w:id="0"/>
    </w:p>
    <w:sectPr>
      <w:footerReference r:id="rId4" w:type="default"/>
      <w:pgSz w:w="11906" w:h="16838"/>
      <w:pgMar w:top="1417" w:right="1474" w:bottom="141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270AB"/>
    <w:rsid w:val="0002546F"/>
    <w:rsid w:val="00100882"/>
    <w:rsid w:val="00134554"/>
    <w:rsid w:val="003B59E7"/>
    <w:rsid w:val="003C15EE"/>
    <w:rsid w:val="003F40BC"/>
    <w:rsid w:val="005B6211"/>
    <w:rsid w:val="005F1213"/>
    <w:rsid w:val="005F6F6E"/>
    <w:rsid w:val="0061786F"/>
    <w:rsid w:val="007E426F"/>
    <w:rsid w:val="008B73CD"/>
    <w:rsid w:val="00985F90"/>
    <w:rsid w:val="00A46FA6"/>
    <w:rsid w:val="00A7513F"/>
    <w:rsid w:val="00C270AB"/>
    <w:rsid w:val="00C470F6"/>
    <w:rsid w:val="00C90B7D"/>
    <w:rsid w:val="00D143B5"/>
    <w:rsid w:val="00E214D7"/>
    <w:rsid w:val="00E3037D"/>
    <w:rsid w:val="00EA2AB7"/>
    <w:rsid w:val="00F44409"/>
    <w:rsid w:val="00F6473A"/>
    <w:rsid w:val="00FD1A90"/>
    <w:rsid w:val="01E50DE8"/>
    <w:rsid w:val="03FD01A2"/>
    <w:rsid w:val="0FC53BEC"/>
    <w:rsid w:val="13CE55CB"/>
    <w:rsid w:val="1A4E35C8"/>
    <w:rsid w:val="240F3678"/>
    <w:rsid w:val="24397ADD"/>
    <w:rsid w:val="243F32EC"/>
    <w:rsid w:val="258370B6"/>
    <w:rsid w:val="2A261D96"/>
    <w:rsid w:val="2D23171B"/>
    <w:rsid w:val="2D506D67"/>
    <w:rsid w:val="2D8131EE"/>
    <w:rsid w:val="2E2F2B52"/>
    <w:rsid w:val="2EAA029D"/>
    <w:rsid w:val="2F244C34"/>
    <w:rsid w:val="2FF6286D"/>
    <w:rsid w:val="313B02D9"/>
    <w:rsid w:val="36D83D8B"/>
    <w:rsid w:val="3F754E4B"/>
    <w:rsid w:val="3FBD2503"/>
    <w:rsid w:val="40E32E41"/>
    <w:rsid w:val="42212F8E"/>
    <w:rsid w:val="45DF9700"/>
    <w:rsid w:val="4AB25144"/>
    <w:rsid w:val="52D13AAC"/>
    <w:rsid w:val="544F0D58"/>
    <w:rsid w:val="54833F9C"/>
    <w:rsid w:val="55F3EFE5"/>
    <w:rsid w:val="56564672"/>
    <w:rsid w:val="58701BA4"/>
    <w:rsid w:val="58D70421"/>
    <w:rsid w:val="5B2D4026"/>
    <w:rsid w:val="614F76E1"/>
    <w:rsid w:val="62636276"/>
    <w:rsid w:val="63AD7FE7"/>
    <w:rsid w:val="63B04D98"/>
    <w:rsid w:val="63C43411"/>
    <w:rsid w:val="66947E0B"/>
    <w:rsid w:val="6715286F"/>
    <w:rsid w:val="6856068D"/>
    <w:rsid w:val="6EB59771"/>
    <w:rsid w:val="720802A1"/>
    <w:rsid w:val="77DFC969"/>
    <w:rsid w:val="79D74CD3"/>
    <w:rsid w:val="7BAA4493"/>
    <w:rsid w:val="7D7BA6CB"/>
    <w:rsid w:val="7FAECE31"/>
    <w:rsid w:val="89BF9DDE"/>
    <w:rsid w:val="ADE5932C"/>
    <w:rsid w:val="B96B265F"/>
    <w:rsid w:val="BEFFE9A6"/>
    <w:rsid w:val="BFEF40EB"/>
    <w:rsid w:val="FBB6C10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 2"/>
    <w:basedOn w:val="1"/>
    <w:qFormat/>
    <w:uiPriority w:val="0"/>
    <w:pPr>
      <w:tabs>
        <w:tab w:val="left" w:pos="720"/>
      </w:tabs>
      <w:adjustRightInd w:val="0"/>
      <w:snapToGrid w:val="0"/>
      <w:spacing w:line="360" w:lineRule="auto"/>
      <w:ind w:firstLine="480"/>
    </w:pPr>
    <w:rPr>
      <w:rFonts w:eastAsia="仿宋_GB2312"/>
      <w:sz w:val="24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tabs>
        <w:tab w:val="left" w:pos="720"/>
      </w:tabs>
      <w:adjustRightInd w:val="0"/>
      <w:snapToGrid w:val="0"/>
      <w:spacing w:line="360" w:lineRule="auto"/>
      <w:ind w:firstLine="540"/>
    </w:pPr>
    <w:rPr>
      <w:rFonts w:eastAsia="仿宋_GB2312"/>
      <w:sz w:val="24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76</Pages>
  <Words>5699</Words>
  <Characters>32487</Characters>
  <Lines>270</Lines>
  <Paragraphs>76</Paragraphs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2021-06-20T10:51:00Z</dcterms:created>
  <dc:creator>view01</dc:creator>
  <cp:lastModifiedBy>旷琳</cp:lastModifiedBy>
  <cp:lastPrinted>2021-06-21T08:32:00Z</cp:lastPrinted>
  <dcterms:modified xsi:type="dcterms:W3CDTF">2021-08-19T02:26:51Z</dcterms:modified>
  <dc:title>附件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