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附件3</w:t>
      </w:r>
    </w:p>
    <w:p>
      <w:pPr>
        <w:snapToGrid w:val="0"/>
        <w:spacing w:line="580" w:lineRule="exact"/>
        <w:rPr>
          <w:rFonts w:hint="eastAsia" w:ascii="Times New Roman" w:hAnsi="Times New Roman" w:eastAsia="方正黑体_GBK" w:cs="方正仿宋_GBK"/>
          <w:snapToGrid w:val="0"/>
          <w:color w:val="333333"/>
          <w:kern w:val="0"/>
          <w:sz w:val="32"/>
          <w:szCs w:val="32"/>
          <w:shd w:val="clear" w:color="auto" w:fill="FFFFFF"/>
        </w:rPr>
      </w:pPr>
    </w:p>
    <w:p>
      <w:pPr>
        <w:snapToGrid w:val="0"/>
        <w:spacing w:line="580" w:lineRule="exact"/>
        <w:jc w:val="center"/>
        <w:rPr>
          <w:rFonts w:ascii="Times New Roman" w:hAnsi="Times New Roman" w:eastAsia="方正小标宋_GBK" w:cs="方正小标宋_GBK"/>
          <w:snapToGrid w:val="0"/>
          <w:color w:val="333333"/>
          <w:kern w:val="0"/>
          <w:sz w:val="44"/>
          <w:szCs w:val="44"/>
          <w:shd w:val="clear" w:color="auto" w:fill="FFFFFF"/>
        </w:rPr>
      </w:pPr>
      <w:r>
        <w:rPr>
          <w:rFonts w:hint="eastAsia" w:ascii="Times New Roman" w:hAnsi="Times New Roman" w:eastAsia="方正小标宋_GBK" w:cs="方正小标宋_GBK"/>
          <w:snapToGrid w:val="0"/>
          <w:color w:val="333333"/>
          <w:kern w:val="0"/>
          <w:sz w:val="44"/>
          <w:szCs w:val="44"/>
          <w:shd w:val="clear" w:color="auto" w:fill="FFFFFF"/>
        </w:rPr>
        <w:t>2026年度重庆市药品流通环节</w:t>
      </w:r>
    </w:p>
    <w:p>
      <w:pPr>
        <w:snapToGrid w:val="0"/>
        <w:spacing w:line="580" w:lineRule="exact"/>
        <w:jc w:val="center"/>
        <w:rPr>
          <w:rFonts w:ascii="Times New Roman" w:hAnsi="Times New Roman" w:eastAsia="方正小标宋_GBK" w:cs="方正小标宋_GBK"/>
          <w:snapToGrid w:val="0"/>
          <w:color w:val="333333"/>
          <w:kern w:val="0"/>
          <w:sz w:val="44"/>
          <w:szCs w:val="44"/>
          <w:shd w:val="clear" w:color="auto" w:fill="FFFFFF"/>
        </w:rPr>
      </w:pPr>
      <w:r>
        <w:rPr>
          <w:rFonts w:hint="eastAsia" w:ascii="Times New Roman" w:hAnsi="Times New Roman" w:eastAsia="方正小标宋_GBK" w:cs="方正小标宋_GBK"/>
          <w:snapToGrid w:val="0"/>
          <w:color w:val="333333"/>
          <w:kern w:val="0"/>
          <w:sz w:val="44"/>
          <w:szCs w:val="44"/>
          <w:shd w:val="clear" w:color="auto" w:fill="FFFFFF"/>
        </w:rPr>
        <w:t>日常检查计划</w:t>
      </w:r>
    </w:p>
    <w:p>
      <w:pPr>
        <w:ind w:firstLine="850" w:firstLineChars="200"/>
        <w:rPr>
          <w:rFonts w:ascii="Times New Roman" w:hAnsi="Times New Roman" w:eastAsia="方正小标宋_GBK" w:cs="方正小标宋_GBK"/>
          <w:snapToGrid w:val="0"/>
          <w:color w:val="333333"/>
          <w:kern w:val="0"/>
          <w:sz w:val="32"/>
          <w:szCs w:val="32"/>
          <w:shd w:val="clear" w:color="auto" w:fill="FFFFFF"/>
        </w:rPr>
      </w:pP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按照《中华人民共和国药品管理法》《中华人民共和国疫苗管理法》《</w:t>
      </w:r>
      <w:r>
        <w:rPr>
          <w:rFonts w:hint="eastAsia" w:ascii="Times New Roman" w:hAnsi="Times New Roman" w:eastAsia="方正仿宋_GBK" w:cs="方正仿宋_GBK"/>
          <w:snapToGrid w:val="0"/>
          <w:color w:val="333333"/>
          <w:kern w:val="0"/>
          <w:sz w:val="32"/>
          <w:szCs w:val="32"/>
          <w:shd w:val="clear" w:color="auto" w:fill="FFFFFF"/>
          <w:lang w:val="en-US" w:eastAsia="zh-CN"/>
        </w:rPr>
        <w:t>药品经营和使用质量监督管理办法</w:t>
      </w:r>
      <w:r>
        <w:rPr>
          <w:rFonts w:hint="eastAsia" w:ascii="Times New Roman" w:hAnsi="Times New Roman" w:eastAsia="方正仿宋_GBK" w:cs="方正仿宋_GBK"/>
          <w:snapToGrid w:val="0"/>
          <w:color w:val="333333"/>
          <w:kern w:val="0"/>
          <w:sz w:val="32"/>
          <w:szCs w:val="32"/>
          <w:shd w:val="clear" w:color="auto" w:fill="FFFFFF"/>
        </w:rPr>
        <w:t>》《国务院办公厅关于严格规范涉企行政检查的意见》等有关工作要求，结合我市实际，制定本日常检查计划。</w:t>
      </w:r>
    </w:p>
    <w:p>
      <w:pPr>
        <w:ind w:firstLine="637" w:firstLineChars="150"/>
        <w:rPr>
          <w:rFonts w:hint="eastAsia"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一、检查主体</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重庆市药品监督管理局、区县市场监督管理局。</w:t>
      </w:r>
      <w:bookmarkStart w:id="0" w:name="_GoBack"/>
      <w:bookmarkEnd w:id="0"/>
    </w:p>
    <w:p>
      <w:pPr>
        <w:ind w:firstLine="637" w:firstLineChars="150"/>
        <w:rPr>
          <w:rFonts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二、检查依据</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按照《中华人民共和国药品管理法》《中华人民共和国疫苗管理法》《</w:t>
      </w:r>
      <w:r>
        <w:rPr>
          <w:rFonts w:hint="eastAsia" w:ascii="Times New Roman" w:hAnsi="Times New Roman" w:eastAsia="方正仿宋_GBK" w:cs="方正仿宋_GBK"/>
          <w:snapToGrid w:val="0"/>
          <w:color w:val="333333"/>
          <w:kern w:val="0"/>
          <w:sz w:val="32"/>
          <w:szCs w:val="32"/>
          <w:shd w:val="clear" w:color="auto" w:fill="FFFFFF"/>
          <w:lang w:val="en-US" w:eastAsia="zh-CN"/>
        </w:rPr>
        <w:t>药品经营和使用质量监督管理办法</w:t>
      </w:r>
      <w:r>
        <w:rPr>
          <w:rFonts w:hint="eastAsia" w:ascii="Times New Roman" w:hAnsi="Times New Roman" w:eastAsia="方正仿宋_GBK" w:cs="方正仿宋_GBK"/>
          <w:snapToGrid w:val="0"/>
          <w:color w:val="333333"/>
          <w:kern w:val="0"/>
          <w:sz w:val="32"/>
          <w:szCs w:val="32"/>
          <w:shd w:val="clear" w:color="auto" w:fill="FFFFFF"/>
        </w:rPr>
        <w:t>》《药品流通检查管理细则（试行）》等有关法规文件。</w:t>
      </w:r>
    </w:p>
    <w:p>
      <w:pPr>
        <w:ind w:firstLine="637" w:firstLineChars="150"/>
        <w:rPr>
          <w:rFonts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三、检查方式</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现场检查或非现场检查</w:t>
      </w:r>
    </w:p>
    <w:p>
      <w:pPr>
        <w:ind w:firstLine="637" w:firstLineChars="150"/>
        <w:rPr>
          <w:rFonts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四、检查事项</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对药品经营企业的监督检查；对疫苗储存配送企业、疾病预防控制机构的监督检查；对</w:t>
      </w:r>
      <w:r>
        <w:rPr>
          <w:rFonts w:ascii="Times New Roman" w:hAnsi="Times New Roman" w:eastAsia="方正仿宋_GBK" w:cs="方正仿宋_GBK"/>
          <w:snapToGrid w:val="0"/>
          <w:color w:val="333333"/>
          <w:kern w:val="0"/>
          <w:sz w:val="32"/>
          <w:szCs w:val="32"/>
          <w:shd w:val="clear" w:color="auto" w:fill="FFFFFF"/>
        </w:rPr>
        <w:t>从事药品网络交易的第三方平台的</w:t>
      </w:r>
      <w:r>
        <w:rPr>
          <w:rFonts w:hint="eastAsia" w:ascii="Times New Roman" w:hAnsi="Times New Roman" w:eastAsia="方正仿宋_GBK" w:cs="方正仿宋_GBK"/>
          <w:snapToGrid w:val="0"/>
          <w:color w:val="333333"/>
          <w:kern w:val="0"/>
          <w:sz w:val="32"/>
          <w:szCs w:val="32"/>
          <w:shd w:val="clear" w:color="auto" w:fill="FFFFFF"/>
        </w:rPr>
        <w:t>监督检查；对医疗机构的监督检查；对药品第三方物流企业的检查。</w:t>
      </w:r>
    </w:p>
    <w:p>
      <w:pPr>
        <w:ind w:firstLine="637" w:firstLineChars="150"/>
        <w:rPr>
          <w:rFonts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五、检查对象及频次</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（一）对麻醉药品和第一类精神药品、药品类易制毒化学品经营企业检查，每半年开展一次检查；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（二）对冷藏冷冻药品、血液制品、细胞治疗类生物制品、第二类精神药品、医疗用毒性药品经营企业检查，每年开展一次检查；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三）对第一项、第二项以外的药品经营企业，每年确定一定比例开展药品经营质量管理规范符合性检查，三年内对本行政区域内药品经营企业全部进行检查，对开展多仓协同、异地委托储存、异地设库的药品经营企业，必要时对其药品仓储情况开展延伸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（四）对上一年度新开办的药品经营企业实施药品经营质量管理规范符合性检查一次；</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（五）对接收、储存疫苗的疾病预防控制机构、接种单位执行疫苗储存和运输管理规范情况进行检查，每年开展一次检查；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（六）每年确定一定比例医疗机构，对其购进、验收、储存药品管理情况进行检查，三年内对行政区域内医疗机构全部进行检查；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ascii="Times New Roman" w:hAnsi="Times New Roman" w:eastAsia="方正仿宋_GBK" w:cs="方正仿宋_GBK"/>
          <w:snapToGrid w:val="0"/>
          <w:color w:val="333333"/>
          <w:kern w:val="0"/>
          <w:sz w:val="32"/>
          <w:szCs w:val="32"/>
          <w:shd w:val="clear" w:color="auto" w:fill="FFFFFF"/>
        </w:rPr>
        <w:t>（七）在药品网络交易第三方平台备案后3个月内，组织对药品网络交易第三方平台开展现场检查，并每年开展一次检查，引导企业合法有序开展经营</w:t>
      </w:r>
      <w:r>
        <w:rPr>
          <w:rFonts w:hint="eastAsia" w:ascii="Times New Roman" w:hAnsi="Times New Roman" w:eastAsia="方正仿宋_GBK" w:cs="方正仿宋_GBK"/>
          <w:snapToGrid w:val="0"/>
          <w:color w:val="333333"/>
          <w:kern w:val="0"/>
          <w:sz w:val="32"/>
          <w:szCs w:val="32"/>
          <w:shd w:val="clear" w:color="auto" w:fill="FFFFFF"/>
        </w:rPr>
        <w:t>；</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（八）每年确定一定比例药品第三方物流企业，对其执行药品GSP储存，运输有关规定的情况进行全面检查，三年内对对本行政区域内药品第三方物流企业全部进行检查。</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仿宋_GBK" w:cs="方正仿宋_GBK"/>
          <w:snapToGrid w:val="0"/>
          <w:color w:val="333333"/>
          <w:kern w:val="0"/>
          <w:sz w:val="32"/>
          <w:szCs w:val="32"/>
          <w:shd w:val="clear" w:color="auto" w:fill="FFFFFF"/>
        </w:rPr>
        <w:t>对药品流通环节相关企业（单位）进行许可检查，有因检查，整改复核，抽样检验，投诉举报，稽查办案，上级交办，上级工作文件要求，抽检不合格，召回，外省市协查互查，其他机关移送线索等工作中涉及的监督检查，根据监管实际开展，不列入检查计划</w:t>
      </w:r>
      <w:r>
        <w:rPr>
          <w:rFonts w:ascii="Times New Roman" w:hAnsi="Times New Roman" w:eastAsia="方正仿宋_GBK" w:cs="方正仿宋_GBK"/>
          <w:snapToGrid w:val="0"/>
          <w:color w:val="333333"/>
          <w:kern w:val="0"/>
          <w:sz w:val="32"/>
          <w:szCs w:val="32"/>
          <w:shd w:val="clear" w:color="auto" w:fill="FFFFFF"/>
        </w:rPr>
        <w:t>频次</w:t>
      </w:r>
      <w:r>
        <w:rPr>
          <w:rFonts w:hint="eastAsia" w:ascii="Times New Roman" w:hAnsi="Times New Roman" w:eastAsia="方正仿宋_GBK" w:cs="方正仿宋_GBK"/>
          <w:snapToGrid w:val="0"/>
          <w:color w:val="333333"/>
          <w:kern w:val="0"/>
          <w:sz w:val="32"/>
          <w:szCs w:val="32"/>
          <w:shd w:val="clear" w:color="auto" w:fill="FFFFFF"/>
        </w:rPr>
        <w:t>。法律法规规章有特殊规定的，从其规定。</w:t>
      </w:r>
    </w:p>
    <w:p>
      <w:pPr>
        <w:ind w:firstLine="637" w:firstLineChars="150"/>
        <w:rPr>
          <w:rFonts w:ascii="Times New Roman" w:hAnsi="Times New Roman" w:eastAsia="方正黑体_GBK" w:cs="方正仿宋_GBK"/>
          <w:snapToGrid w:val="0"/>
          <w:color w:val="333333"/>
          <w:kern w:val="0"/>
          <w:sz w:val="32"/>
          <w:szCs w:val="32"/>
          <w:shd w:val="clear" w:color="auto" w:fill="FFFFFF"/>
        </w:rPr>
      </w:pPr>
      <w:r>
        <w:rPr>
          <w:rFonts w:hint="eastAsia" w:ascii="Times New Roman" w:hAnsi="Times New Roman" w:eastAsia="方正黑体_GBK" w:cs="方正仿宋_GBK"/>
          <w:snapToGrid w:val="0"/>
          <w:color w:val="333333"/>
          <w:kern w:val="0"/>
          <w:sz w:val="32"/>
          <w:szCs w:val="32"/>
          <w:shd w:val="clear" w:color="auto" w:fill="FFFFFF"/>
        </w:rPr>
        <w:t>六、工作要求</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楷体_GBK" w:cs="方正仿宋_GBK"/>
          <w:snapToGrid w:val="0"/>
          <w:color w:val="333333"/>
          <w:kern w:val="0"/>
          <w:sz w:val="32"/>
          <w:szCs w:val="32"/>
          <w:shd w:val="clear" w:color="auto" w:fill="FFFFFF"/>
        </w:rPr>
        <w:t>（一）加强统筹领导，提高监管效能。</w:t>
      </w:r>
      <w:r>
        <w:rPr>
          <w:rFonts w:hint="eastAsia" w:ascii="Times New Roman" w:hAnsi="Times New Roman" w:eastAsia="方正仿宋_GBK" w:cs="方正仿宋_GBK"/>
          <w:snapToGrid w:val="0"/>
          <w:color w:val="333333"/>
          <w:kern w:val="0"/>
          <w:sz w:val="32"/>
          <w:szCs w:val="32"/>
          <w:shd w:val="clear" w:color="auto" w:fill="FFFFFF"/>
        </w:rPr>
        <w:t>各单位要提高认识、明确责任分工、工作目标、检查重点，结合工作实际制定监督检查计划，全面落实药品流通环节监督检查任务，切实有效履行监督检查职责。严格落实国务院《关于严格规范涉企行政检查的意见》有关规定，严格规范涉企检查，统筹协调各类监督检查，可以把日常检查、符合性检查与许可中换证、变更相关检查结合，既要确保监督检查覆盖率以及检查质量、检查效果，又要防止重复检查，尽量实现“一次检查、全面体检”，切实减轻企业负担。</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楷体_GBK" w:cs="方正仿宋_GBK"/>
          <w:snapToGrid w:val="0"/>
          <w:color w:val="333333"/>
          <w:kern w:val="0"/>
          <w:sz w:val="32"/>
          <w:szCs w:val="32"/>
          <w:shd w:val="clear" w:color="auto" w:fill="FFFFFF"/>
        </w:rPr>
        <w:t>（二）强化风险研判，加大查处力度。</w:t>
      </w:r>
      <w:r>
        <w:rPr>
          <w:rFonts w:hint="eastAsia" w:ascii="Times New Roman" w:hAnsi="Times New Roman" w:eastAsia="方正仿宋_GBK" w:cs="方正仿宋_GBK"/>
          <w:snapToGrid w:val="0"/>
          <w:color w:val="333333"/>
          <w:kern w:val="0"/>
          <w:sz w:val="32"/>
          <w:szCs w:val="32"/>
          <w:shd w:val="clear" w:color="auto" w:fill="FFFFFF"/>
        </w:rPr>
        <w:t>各单位要积极开展风险分析、风险会商，督促企业落实主体责任，加强风险隐患排查。持续加大对重点对象、重点品种、关键环节的检查力度，对发现的问题采取有力措施，对违法违规行为进行严厉查处，及时控制风险、化解风险；对存在的违规行为要责令整改，督促整改，跟踪复查；对违法行为应立案的，要依法进行立案查处；对涉嫌犯罪的，要移交公安机关处理。</w:t>
      </w:r>
    </w:p>
    <w:p>
      <w:pPr>
        <w:ind w:firstLine="637" w:firstLineChars="150"/>
        <w:rPr>
          <w:rFonts w:ascii="Times New Roman" w:hAnsi="Times New Roman" w:eastAsia="方正仿宋_GBK" w:cs="方正仿宋_GBK"/>
          <w:snapToGrid w:val="0"/>
          <w:color w:val="333333"/>
          <w:kern w:val="0"/>
          <w:sz w:val="32"/>
          <w:szCs w:val="32"/>
          <w:shd w:val="clear" w:color="auto" w:fill="FFFFFF"/>
        </w:rPr>
      </w:pPr>
      <w:r>
        <w:rPr>
          <w:rFonts w:hint="eastAsia" w:ascii="Times New Roman" w:hAnsi="Times New Roman" w:eastAsia="方正楷体_GBK" w:cs="方正仿宋_GBK"/>
          <w:snapToGrid w:val="0"/>
          <w:color w:val="333333"/>
          <w:kern w:val="0"/>
          <w:sz w:val="32"/>
          <w:szCs w:val="32"/>
          <w:shd w:val="clear" w:color="auto" w:fill="FFFFFF"/>
        </w:rPr>
        <w:t>（三）规范检查工作，完善监管档案。</w:t>
      </w:r>
      <w:r>
        <w:rPr>
          <w:rFonts w:hint="eastAsia" w:ascii="Times New Roman" w:hAnsi="Times New Roman" w:eastAsia="方正仿宋_GBK" w:cs="方正仿宋_GBK"/>
          <w:snapToGrid w:val="0"/>
          <w:color w:val="333333"/>
          <w:kern w:val="0"/>
          <w:sz w:val="32"/>
          <w:szCs w:val="32"/>
          <w:shd w:val="clear" w:color="auto" w:fill="FFFFFF"/>
        </w:rPr>
        <w:t>各单位要规范监督检查行为，严格依法依规开展监督检查。检查任务将通过“渝药安”药品流通监管系统下派，各单位要按要求及时将检查情况录入系统。要建立完善监管对象档案，做到“一企一档”，信息完整。要将监督检查与宣传教育结合起来，强化药品质量安全法律法规宣传培训，做到检查一家、规范一家，教育一片、带动一片。</w:t>
      </w:r>
    </w:p>
    <w:sectPr>
      <w:footerReference r:id="rId3" w:type="default"/>
      <w:footerReference r:id="rId4" w:type="even"/>
      <w:pgSz w:w="11906" w:h="16838"/>
      <w:pgMar w:top="2098" w:right="1531" w:bottom="1985" w:left="1531" w:header="851" w:footer="1474" w:gutter="0"/>
      <w:cols w:space="425"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roid Sans">
    <w:panose1 w:val="020B0606030804020204"/>
    <w:charset w:val="00"/>
    <w:family w:val="auto"/>
    <w:pitch w:val="default"/>
    <w:sig w:usb0="E00002EF" w:usb1="4000205B" w:usb2="00000028" w:usb3="00000000" w:csb0="2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647194"/>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265754"/>
      <w:docPartObj>
        <w:docPartGallery w:val="autotext"/>
      </w:docPartObj>
    </w:sdtPr>
    <w:sdtEndPr>
      <w:rPr>
        <w:rFonts w:asciiTheme="majorEastAsia" w:hAnsiTheme="majorEastAsia" w:eastAsiaTheme="majorEastAsia"/>
        <w:sz w:val="28"/>
        <w:szCs w:val="28"/>
      </w:rPr>
    </w:sdtEndPr>
    <w:sdtContent>
      <w:p>
        <w:pPr>
          <w:pStyle w:val="2"/>
          <w:rPr>
            <w:rFonts w:asciiTheme="majorEastAsia" w:hAnsiTheme="majorEastAsia" w:eastAsiaTheme="maj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false"/>
  <w:bordersDoNotSurroundFooter w:val="false"/>
  <w:documentProtection w:enforcement="0"/>
  <w:defaultTabStop w:val="420"/>
  <w:evenAndOddHeaders w:val="true"/>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6139"/>
    <w:rsid w:val="003B4B76"/>
    <w:rsid w:val="00C21E68"/>
    <w:rsid w:val="00CA291A"/>
    <w:rsid w:val="12FB3F33"/>
    <w:rsid w:val="177C093A"/>
    <w:rsid w:val="2B7D534D"/>
    <w:rsid w:val="38313FBC"/>
    <w:rsid w:val="3D8C44AC"/>
    <w:rsid w:val="4BB5666E"/>
    <w:rsid w:val="50D67ADF"/>
    <w:rsid w:val="677FD296"/>
    <w:rsid w:val="73216213"/>
    <w:rsid w:val="787B0BED"/>
    <w:rsid w:val="796FC08E"/>
    <w:rsid w:val="7B8B6139"/>
    <w:rsid w:val="DBCFB3E2"/>
    <w:rsid w:val="DDF73F2E"/>
    <w:rsid w:val="DEB7DD56"/>
    <w:rsid w:val="DEDAAF66"/>
    <w:rsid w:val="EFB939A4"/>
    <w:rsid w:val="EFDDF5F6"/>
    <w:rsid w:val="F6F927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4</Pages>
  <Words>235</Words>
  <Characters>1343</Characters>
  <Lines>11</Lines>
  <Paragraphs>3</Paragraphs>
  <TotalTime>5</TotalTime>
  <ScaleCrop>false</ScaleCrop>
  <LinksUpToDate>false</LinksUpToDate>
  <CharactersWithSpaces>1575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2026-01-07T06:34:00Z</dcterms:created>
  <dc:creator>赵思同</dc:creator>
  <cp:lastModifiedBy>kylin</cp:lastModifiedBy>
  <cp:lastPrinted>2026-01-21T02:21:00Z</cp:lastPrinted>
  <dcterms:modified xsi:type="dcterms:W3CDTF">2026-02-26T15:03:01Z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286F4EBDBA2B42638528700BE9B43D90_11</vt:lpwstr>
  </property>
  <property fmtid="{D5CDD505-2E9C-101B-9397-08002B2CF9AE}" pid="4" name="KSOTemplateDocerSaveRecord">
    <vt:lpwstr>eyJoZGlkIjoiZGNkZTk3NzUwZDFkNWNmODNkNTE3YmNhNDBjMDIzZTkiLCJ1c2VySWQiOiI1Mjc1ODIyOTgifQ==</vt:lpwstr>
  </property>
</Properties>
</file>