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方正黑体_GBK" w:hAnsi="方正仿宋_GBK" w:eastAsia="方正黑体_GBK" w:cs="方正仿宋_GBK"/>
          <w:color w:val="000000"/>
          <w:szCs w:val="32"/>
        </w:rPr>
      </w:pPr>
      <w:r>
        <w:rPr>
          <w:rFonts w:hint="eastAsia" w:ascii="方正黑体_GBK" w:hAnsi="黑体" w:eastAsia="方正黑体_GBK"/>
          <w:color w:val="000000"/>
          <w:szCs w:val="32"/>
        </w:rPr>
        <w:t>附件3</w:t>
      </w:r>
    </w:p>
    <w:p>
      <w:pPr>
        <w:widowControl/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重庆市药品上市后变更管理类别</w:t>
      </w:r>
    </w:p>
    <w:p>
      <w:pPr>
        <w:snapToGrid w:val="0"/>
        <w:spacing w:line="600" w:lineRule="exact"/>
        <w:jc w:val="center"/>
        <w:rPr>
          <w:rFonts w:hint="eastAsia" w:ascii="方正小标宋_GBK" w:hAnsi="方正仿宋_GBK" w:eastAsia="方正小标宋_GBK" w:cs="方正仿宋_GBK"/>
          <w:color w:val="000000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会议沟通交流意见反馈表</w:t>
      </w:r>
    </w:p>
    <w:tbl>
      <w:tblPr>
        <w:tblStyle w:val="6"/>
        <w:tblW w:w="9850" w:type="dxa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2670"/>
        <w:gridCol w:w="1484"/>
        <w:gridCol w:w="3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持有人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（原料药登记人）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药品名称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批准文号（登记号）</w:t>
            </w:r>
          </w:p>
        </w:tc>
        <w:tc>
          <w:tcPr>
            <w:tcW w:w="3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药品分类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注册类别</w:t>
            </w:r>
          </w:p>
        </w:tc>
        <w:tc>
          <w:tcPr>
            <w:tcW w:w="3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申请事由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□无法确定变更管理类别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降低</w:t>
            </w:r>
            <w:r>
              <w:rPr>
                <w:rFonts w:eastAsia="仿宋_GB2312"/>
                <w:color w:val="000000"/>
                <w:kern w:val="0"/>
                <w:sz w:val="24"/>
              </w:rPr>
              <w:t>技术指导原则中明确的变更管理类别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降低</w:t>
            </w:r>
            <w:r>
              <w:rPr>
                <w:rFonts w:eastAsia="仿宋_GB2312"/>
                <w:color w:val="000000"/>
                <w:kern w:val="0"/>
                <w:sz w:val="24"/>
              </w:rPr>
              <w:t>持有人变更清单中的变更管理类别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变更事项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自评估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（变更类别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</w:rPr>
              <w:t>理由）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沟通交流意见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沟通交流意见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反馈单位</w:t>
            </w:r>
          </w:p>
        </w:tc>
        <w:tc>
          <w:tcPr>
            <w:tcW w:w="7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重庆市药品监督管理局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>
        <w:snapToGrid w:val="0"/>
        <w:spacing w:line="400" w:lineRule="exact"/>
        <w:ind w:firstLine="412" w:firstLineChars="200"/>
        <w:rPr>
          <w:rStyle w:val="5"/>
          <w:rFonts w:hint="eastAsia" w:ascii="方正黑体_GBK" w:hAnsi="仿宋" w:eastAsia="方正黑体_GBK" w:cs="仿宋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333333"/>
          <w:sz w:val="21"/>
          <w:szCs w:val="21"/>
        </w:rPr>
        <w:t>本表一式两份,一份持有人留存,一份重庆市药品监督管理局留档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 w:ascii="方正仿宋_GBK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1E2A"/>
    <w:rsid w:val="181E1E2A"/>
    <w:rsid w:val="23564A8F"/>
    <w:rsid w:val="7E0B03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 w:cs="黑体"/>
      <w:kern w:val="0"/>
      <w:sz w:val="24"/>
      <w:szCs w:val="22"/>
    </w:rPr>
  </w:style>
  <w:style w:type="character" w:styleId="5">
    <w:name w:val="Emphasi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cqda.gov.cn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2021-03-30T01:28:00Z</dcterms:created>
  <dc:creator>冯未炜</dc:creator>
  <cp:lastModifiedBy>冯未炜</cp:lastModifiedBy>
  <dcterms:modified xsi:type="dcterms:W3CDTF">2021-03-30T01:29:58Z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