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仿宋" w:eastAsia="方正黑体_GBK"/>
          <w:color w:val="000000"/>
          <w:sz w:val="44"/>
          <w:szCs w:val="44"/>
        </w:rPr>
      </w:pPr>
      <w:r>
        <w:rPr>
          <w:rFonts w:hint="eastAsia" w:ascii="方正黑体_GBK" w:hAnsi="黑体" w:eastAsia="方正黑体_GBK"/>
          <w:color w:val="000000"/>
          <w:szCs w:val="32"/>
        </w:rPr>
        <w:t>附件2</w:t>
      </w:r>
    </w:p>
    <w:p>
      <w:pPr>
        <w:snapToGrid w:val="0"/>
        <w:spacing w:line="600" w:lineRule="exact"/>
        <w:jc w:val="center"/>
        <w:rPr>
          <w:rFonts w:hint="eastAsia" w:ascii="方正小标宋_GBK" w:hAnsi="仿宋" w:eastAsia="方正小标宋_GBK"/>
          <w:color w:val="000000"/>
          <w:sz w:val="44"/>
          <w:szCs w:val="44"/>
        </w:rPr>
      </w:pPr>
      <w:r>
        <w:rPr>
          <w:rFonts w:hint="eastAsia" w:ascii="方正小标宋_GBK" w:hAnsi="仿宋" w:eastAsia="方正小标宋_GBK"/>
          <w:color w:val="000000"/>
          <w:sz w:val="44"/>
          <w:szCs w:val="44"/>
        </w:rPr>
        <w:t>重庆市药品上市后变更管理类别</w:t>
      </w:r>
    </w:p>
    <w:p>
      <w:pPr>
        <w:snapToGrid w:val="0"/>
        <w:spacing w:line="600" w:lineRule="exact"/>
        <w:jc w:val="center"/>
        <w:rPr>
          <w:rFonts w:hint="eastAsia" w:ascii="方正小标宋_GBK" w:hAnsi="仿宋" w:eastAsia="方正小标宋_GBK"/>
          <w:color w:val="000000"/>
          <w:szCs w:val="32"/>
        </w:rPr>
      </w:pPr>
      <w:r>
        <w:rPr>
          <w:rFonts w:hint="eastAsia" w:ascii="方正小标宋_GBK" w:hAnsi="仿宋" w:eastAsia="方正小标宋_GBK"/>
          <w:color w:val="000000"/>
          <w:sz w:val="44"/>
          <w:szCs w:val="44"/>
        </w:rPr>
        <w:t>会议沟通交流申请资料</w:t>
      </w:r>
    </w:p>
    <w:p>
      <w:pPr>
        <w:snapToGrid w:val="0"/>
        <w:spacing w:line="600" w:lineRule="exact"/>
        <w:ind w:firstLine="632" w:firstLineChars="200"/>
        <w:rPr>
          <w:rFonts w:hint="eastAsia" w:ascii="仿宋" w:hAnsi="仿宋" w:eastAsia="仿宋" w:cs="仿宋"/>
          <w:color w:val="000000"/>
          <w:szCs w:val="32"/>
        </w:rPr>
      </w:pPr>
    </w:p>
    <w:p>
      <w:pPr>
        <w:snapToGrid w:val="0"/>
        <w:spacing w:line="600" w:lineRule="exact"/>
        <w:ind w:firstLine="632" w:firstLineChars="200"/>
        <w:rPr>
          <w:rFonts w:hint="eastAsia" w:ascii="方正仿宋_GBK" w:hAnsi="方正仿宋_GBK" w:cs="方正仿宋_GBK"/>
          <w:color w:val="000000"/>
          <w:szCs w:val="32"/>
        </w:rPr>
      </w:pPr>
      <w:r>
        <w:rPr>
          <w:rFonts w:hint="eastAsia" w:ascii="方正仿宋_GBK" w:hAnsi="方正仿宋_GBK" w:cs="方正仿宋_GBK"/>
          <w:color w:val="000000"/>
          <w:szCs w:val="32"/>
        </w:rPr>
        <w:t>1.证明性文件：《药品生产许可证》、药品批准证明性文件、药品质量标准复印件、变更证明性文件等。</w:t>
      </w:r>
    </w:p>
    <w:p>
      <w:pPr>
        <w:snapToGrid w:val="0"/>
        <w:spacing w:line="600" w:lineRule="exact"/>
        <w:ind w:firstLine="632" w:firstLineChars="200"/>
        <w:rPr>
          <w:rFonts w:hint="eastAsia" w:ascii="方正仿宋_GBK" w:hAnsi="方正仿宋_GBK" w:cs="方正仿宋_GBK"/>
          <w:color w:val="000000"/>
          <w:szCs w:val="32"/>
        </w:rPr>
      </w:pPr>
      <w:r>
        <w:rPr>
          <w:rFonts w:hint="eastAsia" w:ascii="方正仿宋_GBK" w:hAnsi="方正仿宋_GBK" w:cs="方正仿宋_GBK"/>
          <w:color w:val="000000"/>
          <w:szCs w:val="32"/>
        </w:rPr>
        <w:t>2.变更基本信息：变更项目、变更情况、变更自评估等级和评估理由等。</w:t>
      </w:r>
    </w:p>
    <w:p>
      <w:pPr>
        <w:snapToGrid w:val="0"/>
        <w:spacing w:line="600" w:lineRule="exact"/>
        <w:ind w:firstLine="632" w:firstLineChars="200"/>
        <w:rPr>
          <w:rFonts w:hint="eastAsia" w:ascii="方正仿宋_GBK" w:hAnsi="方正仿宋_GBK" w:cs="方正仿宋_GBK"/>
          <w:color w:val="000000"/>
          <w:szCs w:val="32"/>
        </w:rPr>
      </w:pPr>
      <w:r>
        <w:rPr>
          <w:rFonts w:hint="eastAsia" w:ascii="方正仿宋_GBK" w:hAnsi="方正仿宋_GBK" w:cs="方正仿宋_GBK"/>
          <w:color w:val="000000"/>
          <w:szCs w:val="32"/>
        </w:rPr>
        <w:t>3.根据持有人变更分类原则、工作程序和风险管理进行的研究评估工作。</w:t>
      </w:r>
    </w:p>
    <w:p>
      <w:pPr>
        <w:snapToGrid w:val="0"/>
        <w:spacing w:line="600" w:lineRule="exact"/>
        <w:ind w:firstLine="632" w:firstLineChars="200"/>
        <w:rPr>
          <w:rFonts w:hint="eastAsia" w:ascii="方正仿宋_GBK" w:hAnsi="方正仿宋_GBK" w:cs="方正仿宋_GBK"/>
          <w:color w:val="000000"/>
          <w:szCs w:val="32"/>
        </w:rPr>
      </w:pPr>
      <w:r>
        <w:rPr>
          <w:rFonts w:hint="eastAsia" w:ascii="方正仿宋_GBK" w:hAnsi="方正仿宋_GBK" w:cs="方正仿宋_GBK"/>
          <w:color w:val="000000"/>
          <w:szCs w:val="32"/>
        </w:rPr>
        <w:t>4.根据变更指导原则相应类别变更所做的研究验证资料。</w:t>
      </w:r>
    </w:p>
    <w:p>
      <w:pPr>
        <w:snapToGrid w:val="0"/>
        <w:spacing w:line="600" w:lineRule="exact"/>
        <w:ind w:firstLine="632" w:firstLineChars="200"/>
        <w:rPr>
          <w:rFonts w:hint="eastAsia" w:ascii="方正仿宋_GBK" w:hAnsi="方正仿宋_GBK" w:cs="方正仿宋_GBK"/>
          <w:color w:val="000000"/>
          <w:szCs w:val="32"/>
        </w:rPr>
      </w:pPr>
      <w:r>
        <w:rPr>
          <w:rFonts w:hint="eastAsia" w:ascii="方正仿宋_GBK" w:hAnsi="方正仿宋_GBK" w:cs="方正仿宋_GBK"/>
          <w:color w:val="000000"/>
          <w:szCs w:val="32"/>
        </w:rPr>
        <w:t>5.其他佐证资料。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E1E2A"/>
    <w:rsid w:val="181E1E2A"/>
    <w:rsid w:val="23564A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eastAsia="宋体" w:cs="黑体"/>
      <w:kern w:val="0"/>
      <w:sz w:val="24"/>
      <w:szCs w:val="22"/>
    </w:rPr>
  </w:style>
  <w:style w:type="character" w:styleId="4">
    <w:name w:val="Emphasis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cqda.gov.cn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2021-03-30T01:28:00Z</dcterms:created>
  <dc:creator>冯未炜</dc:creator>
  <cp:lastModifiedBy>冯未炜</cp:lastModifiedBy>
  <dcterms:modified xsi:type="dcterms:W3CDTF">2021-03-30T01:29:22Z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