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adjustRightInd w:val="0"/>
        <w:snapToGrid w:val="0"/>
        <w:spacing w:line="600" w:lineRule="exact"/>
        <w:jc w:val="center"/>
        <w:rPr>
          <w:rFonts w:hint="eastAsia" w:eastAsia="方正小标宋_GBK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eastAsia="方正小标宋_GBK"/>
          <w:kern w:val="0"/>
          <w:sz w:val="44"/>
          <w:szCs w:val="44"/>
          <w:shd w:val="clear" w:color="auto" w:fill="FFFFFF"/>
          <w:lang w:bidi="ar"/>
        </w:rPr>
        <w:t>《药品检查管理办法实施细则（试行）》</w:t>
      </w:r>
    </w:p>
    <w:p>
      <w:pPr>
        <w:widowControl/>
        <w:wordWrap w:val="0"/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征求意见稿起草说明</w:t>
      </w:r>
    </w:p>
    <w:p/>
    <w:p>
      <w:pPr>
        <w:wordWrap w:val="0"/>
        <w:adjustRightInd w:val="0"/>
        <w:snapToGrid w:val="0"/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</w:t>
      </w:r>
      <w:r>
        <w:rPr>
          <w:rFonts w:hint="eastAsia" w:eastAsia="方正黑体_GBK"/>
          <w:sz w:val="32"/>
          <w:szCs w:val="32"/>
          <w:lang w:val="en-US" w:eastAsia="zh-CN"/>
        </w:rPr>
        <w:t>起草</w:t>
      </w:r>
      <w:r>
        <w:rPr>
          <w:rFonts w:eastAsia="方正黑体_GBK"/>
          <w:sz w:val="32"/>
          <w:szCs w:val="32"/>
        </w:rPr>
        <w:t>背景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640" w:firstLineChars="200"/>
        <w:jc w:val="left"/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>国家药监局将重新修订后的《药品检查管理办法（试行）》，已于2023年7月19日重新发布。为进一步规范药品检查行为，结合本行政区域实际情况，统一工作标准，细化工作要求，优化工作程序，组织做好药品生产经营及使用环节检查，持续加强监督管理，我局起草《药品检查管理办法实施细则（试行）》，</w:t>
      </w:r>
      <w:r>
        <w:rPr>
          <w:rFonts w:hint="eastAsia" w:ascii="方正仿宋_GBK" w:hAnsi="方正仿宋_GBK" w:eastAsia="方正仿宋_GBK" w:cs="方正仿宋_GBK"/>
          <w:b w:val="0"/>
          <w:kern w:val="2"/>
          <w:sz w:val="32"/>
          <w:szCs w:val="32"/>
          <w:lang w:val="en-US" w:eastAsia="zh-CN" w:bidi="ar-SA"/>
        </w:rPr>
        <w:t>现公开征求修改意见。</w:t>
      </w:r>
      <w:r>
        <w:rPr>
          <w:rFonts w:hint="eastAsia" w:ascii="Times New Roman" w:hAnsi="Times New Roman" w:eastAsia="方正仿宋_GBK" w:cs="Times New Roman"/>
          <w:b w:val="0"/>
          <w:kern w:val="0"/>
          <w:sz w:val="32"/>
          <w:szCs w:val="32"/>
          <w:lang w:val="en-US" w:eastAsia="zh-CN" w:bidi="ar-SA"/>
        </w:rPr>
        <w:t xml:space="preserve">   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二、主要依据</w:t>
      </w:r>
    </w:p>
    <w:p>
      <w:pPr>
        <w:wordWrap w:val="0"/>
        <w:adjustRightInd w:val="0"/>
        <w:snapToGrid w:val="0"/>
        <w:spacing w:line="600" w:lineRule="exact"/>
        <w:ind w:firstLine="640" w:firstLineChars="200"/>
        <w:rPr>
          <w:rFonts w:hint="eastAsia" w:eastAsia="方正仿宋_GBK"/>
          <w:kern w:val="0"/>
          <w:sz w:val="32"/>
          <w:szCs w:val="32"/>
          <w:lang w:eastAsia="zh-CN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法律法规：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《中华人民共和国药品管理法》《中华人民共和国疫苗管理法》《药品生产监督管理办法》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《药品上市后变更管理办法》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《药品经营和使用质量监督管理办法》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《药品检查管理办法（试行）》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《药品医疗器械飞行检查办法》</w:t>
      </w:r>
      <w:r>
        <w:rPr>
          <w:rFonts w:hint="eastAsia" w:eastAsia="方正仿宋_GBK" w:cs="Times New Roman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  <w:t>三、</w:t>
      </w:r>
      <w:r>
        <w:rPr>
          <w:rFonts w:eastAsia="方正黑体_GBK"/>
          <w:sz w:val="32"/>
          <w:szCs w:val="32"/>
        </w:rPr>
        <w:t>主要内容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0" w:firstLineChars="200"/>
        <w:rPr>
          <w:rFonts w:hint="eastAsia" w:eastAsia="方正仿宋_GBK"/>
          <w:kern w:val="0"/>
          <w:sz w:val="32"/>
          <w:szCs w:val="32"/>
          <w:lang w:val="en-US" w:eastAsia="zh-CN"/>
        </w:rPr>
      </w:pPr>
      <w:r>
        <w:rPr>
          <w:rFonts w:hint="eastAsia" w:eastAsia="方正仿宋_GBK"/>
          <w:kern w:val="0"/>
          <w:sz w:val="32"/>
          <w:szCs w:val="32"/>
          <w:lang w:val="en-US" w:eastAsia="zh-CN"/>
        </w:rPr>
        <w:t>《细则》共七十一条，分为10章节。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第一章 总则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对《细则》适用范围和适用行为，以及各个单位处室相应的职责和检查分类进行了定义。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 xml:space="preserve">第二章 检查机构和人员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主要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对检查机构以及检查员分级分类，调配使用管理进行了描述。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第三章 检查程序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主要涉及组织检查、现场实施检查、药品生产和经营环节的现场检查标准和综合评定标准，以及报告审核等内容。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第四章 许可检查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主要涉及药品生产、经营、零售环节许可检查的程序要求等内容。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第五章 常规检查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主要涉及药品生产环节、经营环节的常规检查的检查内容、检查重点和检查频次等内容。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第六章 有因检查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 xml:space="preserve"> 主要涉及开展有因检查的情形、程序要求、处置措施等内容。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 xml:space="preserve">第七章 检查与稽查的衔接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主要涉及检查与稽查衔接的情形、程序、案件查办要求等内容。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 xml:space="preserve">第八章 跨区域检查的协作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主要涉及跨区域检查实施的情形和过程以及要求等内容 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 xml:space="preserve">第九章 检查结果的处理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主要包括根据检查结果采取风险控制措施，查处被检查单位、检查人员违法违规行为及信息公开。</w:t>
      </w:r>
    </w:p>
    <w:p>
      <w:pPr>
        <w:numPr>
          <w:ilvl w:val="0"/>
          <w:numId w:val="0"/>
        </w:numPr>
        <w:wordWrap w:val="0"/>
        <w:adjustRightInd w:val="0"/>
        <w:snapToGrid w:val="0"/>
        <w:spacing w:line="600" w:lineRule="exact"/>
        <w:ind w:firstLine="643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 xml:space="preserve">第十章 附则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要求各相关单位依据本《细则》要求，建立药品检查相关制度文件，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完善工作程序。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ZDgzYWFlNGEyYWQ4ZTRiMTVmMzY1ZjFiYWE2N2MifQ=="/>
  </w:docVars>
  <w:rsids>
    <w:rsidRoot w:val="514217D2"/>
    <w:rsid w:val="12464D5A"/>
    <w:rsid w:val="27351044"/>
    <w:rsid w:val="275D6B12"/>
    <w:rsid w:val="514217D2"/>
    <w:rsid w:val="731A5F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cqda.gov.cn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2023-10-30T11:05:00Z</dcterms:created>
  <dc:creator>saisai</dc:creator>
  <cp:lastModifiedBy>saisai</cp:lastModifiedBy>
  <dcterms:modified xsi:type="dcterms:W3CDTF">2023-10-31T01:04:06Z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5A22E16D08C64C0499DB88F8237C633F_11</vt:lpwstr>
  </property>
</Properties>
</file>